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jc w:val="center"/>
        <w:rPr>
          <w:rFonts w:hint="eastAsia" w:ascii="宋体" w:hAnsi="宋体" w:eastAsia="宋体" w:cs="宋体"/>
          <w:lang w:eastAsia="zh-CN"/>
        </w:rPr>
      </w:pPr>
      <w:r>
        <w:rPr>
          <w:rFonts w:hint="eastAsia" w:ascii="宋体" w:hAnsi="宋体" w:eastAsia="宋体" w:cs="宋体"/>
          <w:bCs/>
          <w:sz w:val="56"/>
          <w:szCs w:val="56"/>
          <w:lang w:eastAsia="zh-CN"/>
        </w:rPr>
        <w:t>济南轻骑标致摩托车有限公司职工食堂配餐服务招标项目</w:t>
      </w:r>
    </w:p>
    <w:p>
      <w:pPr>
        <w:pStyle w:val="23"/>
        <w:spacing w:line="360" w:lineRule="auto"/>
        <w:ind w:firstLine="191"/>
        <w:rPr>
          <w:rFonts w:hint="eastAsia" w:ascii="宋体" w:hAnsi="宋体" w:eastAsia="宋体" w:cs="宋体"/>
        </w:rPr>
      </w:pPr>
    </w:p>
    <w:p>
      <w:pPr>
        <w:pStyle w:val="23"/>
        <w:spacing w:line="360" w:lineRule="auto"/>
        <w:ind w:firstLine="191"/>
        <w:rPr>
          <w:rFonts w:hint="eastAsia" w:ascii="宋体" w:hAnsi="宋体" w:eastAsia="宋体" w:cs="宋体"/>
        </w:rPr>
      </w:pPr>
    </w:p>
    <w:p>
      <w:pPr>
        <w:pStyle w:val="23"/>
        <w:spacing w:line="360" w:lineRule="auto"/>
        <w:ind w:firstLine="191"/>
        <w:rPr>
          <w:rFonts w:hint="eastAsia" w:ascii="宋体" w:hAnsi="宋体" w:eastAsia="宋体" w:cs="宋体"/>
        </w:rPr>
      </w:pPr>
    </w:p>
    <w:p>
      <w:pPr>
        <w:pStyle w:val="23"/>
        <w:spacing w:line="360" w:lineRule="auto"/>
        <w:ind w:firstLine="282"/>
        <w:rPr>
          <w:rFonts w:hint="eastAsia" w:ascii="宋体" w:hAnsi="宋体" w:eastAsia="宋体" w:cs="宋体"/>
        </w:rPr>
      </w:pPr>
      <w:r>
        <w:rPr>
          <w:rFonts w:hint="eastAsia" w:ascii="宋体" w:hAnsi="宋体" w:eastAsia="宋体" w:cs="宋体"/>
          <w:b/>
          <w:color w:val="000000"/>
          <w:sz w:val="30"/>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78105</wp:posOffset>
            </wp:positionV>
            <wp:extent cx="2347595" cy="1548130"/>
            <wp:effectExtent l="0" t="0" r="14605" b="6350"/>
            <wp:wrapSquare wrapText="bothSides"/>
            <wp:docPr id="3" name="图片 2" descr="92a18c47457ab59232ed9d8ab3d8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92a18c47457ab59232ed9d8ab3d8bc2"/>
                    <pic:cNvPicPr>
                      <a:picLocks noChangeAspect="1"/>
                    </pic:cNvPicPr>
                  </pic:nvPicPr>
                  <pic:blipFill>
                    <a:blip r:embed="rId8"/>
                    <a:stretch>
                      <a:fillRect/>
                    </a:stretch>
                  </pic:blipFill>
                  <pic:spPr>
                    <a:xfrm>
                      <a:off x="0" y="0"/>
                      <a:ext cx="2347595" cy="1548130"/>
                    </a:xfrm>
                    <a:prstGeom prst="rect">
                      <a:avLst/>
                    </a:prstGeom>
                    <a:noFill/>
                    <a:ln>
                      <a:noFill/>
                    </a:ln>
                  </pic:spPr>
                </pic:pic>
              </a:graphicData>
            </a:graphic>
          </wp:anchor>
        </w:drawing>
      </w:r>
    </w:p>
    <w:p>
      <w:pPr>
        <w:spacing w:line="360" w:lineRule="auto"/>
        <w:rPr>
          <w:rFonts w:hint="eastAsia" w:ascii="宋体" w:hAnsi="宋体" w:eastAsia="宋体" w:cs="宋体"/>
          <w:bCs/>
          <w:sz w:val="72"/>
          <w:szCs w:val="22"/>
        </w:rPr>
      </w:pPr>
    </w:p>
    <w:p>
      <w:pPr>
        <w:spacing w:line="360" w:lineRule="auto"/>
        <w:jc w:val="center"/>
        <w:rPr>
          <w:rFonts w:hint="eastAsia" w:ascii="宋体" w:hAnsi="宋体" w:eastAsia="宋体" w:cs="宋体"/>
          <w:bCs/>
          <w:sz w:val="72"/>
          <w:szCs w:val="22"/>
        </w:rPr>
      </w:pPr>
    </w:p>
    <w:p>
      <w:pPr>
        <w:spacing w:line="360" w:lineRule="auto"/>
        <w:jc w:val="center"/>
        <w:rPr>
          <w:rFonts w:hint="eastAsia" w:ascii="宋体" w:hAnsi="宋体" w:eastAsia="宋体" w:cs="宋体"/>
          <w:bCs/>
          <w:sz w:val="40"/>
          <w:szCs w:val="40"/>
        </w:rPr>
      </w:pPr>
      <w:r>
        <w:rPr>
          <w:rFonts w:hint="eastAsia" w:ascii="宋体" w:hAnsi="宋体" w:eastAsia="宋体" w:cs="宋体"/>
          <w:bCs/>
          <w:sz w:val="72"/>
          <w:szCs w:val="22"/>
        </w:rPr>
        <w:t>招标文件</w:t>
      </w:r>
    </w:p>
    <w:p>
      <w:pPr>
        <w:spacing w:line="360" w:lineRule="auto"/>
        <w:jc w:val="center"/>
        <w:rPr>
          <w:rFonts w:hint="eastAsia" w:ascii="宋体" w:hAnsi="宋体" w:eastAsia="宋体" w:cs="宋体"/>
          <w:bCs/>
          <w:sz w:val="44"/>
          <w:szCs w:val="44"/>
          <w:lang w:eastAsia="zh-CN"/>
        </w:rPr>
      </w:pPr>
      <w:r>
        <w:rPr>
          <w:rFonts w:hint="eastAsia" w:ascii="宋体" w:hAnsi="宋体" w:eastAsia="宋体" w:cs="宋体"/>
          <w:bCs/>
          <w:sz w:val="32"/>
          <w:szCs w:val="32"/>
        </w:rPr>
        <w:t>项目编号：</w:t>
      </w:r>
      <w:r>
        <w:rPr>
          <w:rFonts w:hint="eastAsia" w:ascii="宋体" w:hAnsi="宋体" w:eastAsia="宋体" w:cs="宋体"/>
          <w:bCs/>
          <w:sz w:val="32"/>
          <w:szCs w:val="32"/>
          <w:lang w:eastAsia="zh-CN"/>
        </w:rPr>
        <w:t>JQPM（GK）-JZ-2023-1109</w:t>
      </w:r>
    </w:p>
    <w:p>
      <w:pPr>
        <w:spacing w:line="360" w:lineRule="auto"/>
        <w:rPr>
          <w:rFonts w:hint="eastAsia" w:ascii="宋体" w:hAnsi="宋体" w:eastAsia="宋体" w:cs="宋体"/>
          <w:bCs/>
          <w:sz w:val="32"/>
        </w:rPr>
      </w:pPr>
    </w:p>
    <w:p>
      <w:pPr>
        <w:spacing w:line="360" w:lineRule="auto"/>
        <w:rPr>
          <w:rFonts w:hint="eastAsia" w:ascii="宋体" w:hAnsi="宋体" w:eastAsia="宋体" w:cs="宋体"/>
          <w:bCs/>
          <w:sz w:val="32"/>
        </w:rPr>
      </w:pPr>
    </w:p>
    <w:p>
      <w:pPr>
        <w:pStyle w:val="24"/>
        <w:spacing w:line="360" w:lineRule="auto"/>
        <w:ind w:left="0" w:leftChars="0" w:firstLine="602"/>
        <w:rPr>
          <w:rFonts w:hint="eastAsia" w:ascii="宋体" w:hAnsi="宋体" w:eastAsia="宋体" w:cs="宋体"/>
          <w:bCs/>
          <w:sz w:val="32"/>
        </w:rPr>
      </w:pPr>
    </w:p>
    <w:p>
      <w:pPr>
        <w:pStyle w:val="23"/>
        <w:spacing w:line="360" w:lineRule="auto"/>
        <w:ind w:firstLine="301"/>
        <w:rPr>
          <w:rFonts w:hint="eastAsia" w:ascii="宋体" w:hAnsi="宋体" w:eastAsia="宋体" w:cs="宋体"/>
          <w:bCs/>
          <w:sz w:val="32"/>
        </w:rPr>
      </w:pPr>
    </w:p>
    <w:p>
      <w:pPr>
        <w:spacing w:line="360" w:lineRule="auto"/>
        <w:rPr>
          <w:rFonts w:hint="eastAsia" w:ascii="宋体" w:hAnsi="宋体" w:eastAsia="宋体" w:cs="宋体"/>
          <w:bCs/>
          <w:sz w:val="32"/>
        </w:rPr>
      </w:pPr>
    </w:p>
    <w:p>
      <w:pPr>
        <w:pStyle w:val="9"/>
        <w:rPr>
          <w:rFonts w:hint="eastAsia" w:ascii="宋体" w:hAnsi="宋体" w:eastAsia="宋体" w:cs="宋体"/>
        </w:rPr>
      </w:pPr>
    </w:p>
    <w:p>
      <w:pPr>
        <w:pStyle w:val="32"/>
        <w:spacing w:line="360" w:lineRule="auto"/>
        <w:rPr>
          <w:rFonts w:hint="eastAsia" w:ascii="宋体" w:hAnsi="宋体" w:eastAsia="宋体" w:cs="宋体"/>
        </w:rPr>
      </w:pPr>
    </w:p>
    <w:tbl>
      <w:tblPr>
        <w:tblStyle w:val="25"/>
        <w:tblW w:w="7364" w:type="dxa"/>
        <w:jc w:val="center"/>
        <w:tblLayout w:type="fixed"/>
        <w:tblCellMar>
          <w:top w:w="0" w:type="dxa"/>
          <w:left w:w="108" w:type="dxa"/>
          <w:bottom w:w="0" w:type="dxa"/>
          <w:right w:w="108" w:type="dxa"/>
        </w:tblCellMar>
      </w:tblPr>
      <w:tblGrid>
        <w:gridCol w:w="2189"/>
        <w:gridCol w:w="5175"/>
      </w:tblGrid>
      <w:tr>
        <w:tblPrEx>
          <w:tblCellMar>
            <w:top w:w="0" w:type="dxa"/>
            <w:left w:w="108" w:type="dxa"/>
            <w:bottom w:w="0" w:type="dxa"/>
            <w:right w:w="108" w:type="dxa"/>
          </w:tblCellMar>
        </w:tblPrEx>
        <w:trPr>
          <w:trHeight w:val="426" w:hRule="atLeast"/>
          <w:jc w:val="center"/>
        </w:trPr>
        <w:tc>
          <w:tcPr>
            <w:tcW w:w="2189" w:type="dxa"/>
            <w:vAlign w:val="center"/>
          </w:tcPr>
          <w:p>
            <w:pPr>
              <w:spacing w:line="360" w:lineRule="auto"/>
              <w:jc w:val="distribute"/>
              <w:rPr>
                <w:rFonts w:hint="eastAsia" w:ascii="宋体" w:hAnsi="宋体" w:eastAsia="宋体" w:cs="宋体"/>
                <w:bCs/>
                <w:sz w:val="32"/>
              </w:rPr>
            </w:pPr>
            <w:bookmarkStart w:id="0" w:name="_Hlk520493854"/>
            <w:r>
              <w:rPr>
                <w:rFonts w:hint="eastAsia" w:ascii="宋体" w:hAnsi="宋体" w:eastAsia="宋体" w:cs="宋体"/>
                <w:bCs/>
                <w:sz w:val="30"/>
                <w:szCs w:val="30"/>
              </w:rPr>
              <w:t>招标单位：</w:t>
            </w:r>
          </w:p>
        </w:tc>
        <w:tc>
          <w:tcPr>
            <w:tcW w:w="5175" w:type="dxa"/>
            <w:vAlign w:val="center"/>
          </w:tcPr>
          <w:p>
            <w:pPr>
              <w:pStyle w:val="9"/>
              <w:spacing w:after="0" w:line="360" w:lineRule="auto"/>
              <w:jc w:val="distribute"/>
              <w:rPr>
                <w:rFonts w:hint="eastAsia" w:ascii="宋体" w:hAnsi="宋体" w:eastAsia="宋体" w:cs="宋体"/>
                <w:bCs/>
                <w:sz w:val="32"/>
                <w:szCs w:val="22"/>
              </w:rPr>
            </w:pPr>
            <w:r>
              <w:rPr>
                <w:rFonts w:hint="eastAsia" w:ascii="宋体" w:hAnsi="宋体" w:eastAsia="宋体" w:cs="宋体"/>
                <w:bCs/>
                <w:sz w:val="30"/>
                <w:szCs w:val="30"/>
              </w:rPr>
              <w:t>济南轻骑标致摩托车有限公司</w:t>
            </w:r>
          </w:p>
        </w:tc>
      </w:tr>
      <w:bookmarkEnd w:id="0"/>
      <w:tr>
        <w:tblPrEx>
          <w:tblCellMar>
            <w:top w:w="0" w:type="dxa"/>
            <w:left w:w="108" w:type="dxa"/>
            <w:bottom w:w="0" w:type="dxa"/>
            <w:right w:w="108" w:type="dxa"/>
          </w:tblCellMar>
        </w:tblPrEx>
        <w:trPr>
          <w:trHeight w:val="643" w:hRule="atLeast"/>
          <w:jc w:val="center"/>
        </w:trPr>
        <w:tc>
          <w:tcPr>
            <w:tcW w:w="2189" w:type="dxa"/>
            <w:vAlign w:val="center"/>
          </w:tcPr>
          <w:p>
            <w:pPr>
              <w:spacing w:line="360" w:lineRule="auto"/>
              <w:jc w:val="distribute"/>
              <w:rPr>
                <w:rFonts w:hint="eastAsia" w:ascii="宋体" w:hAnsi="宋体" w:eastAsia="宋体" w:cs="宋体"/>
                <w:bCs/>
                <w:sz w:val="32"/>
              </w:rPr>
            </w:pPr>
            <w:r>
              <w:rPr>
                <w:rFonts w:hint="eastAsia" w:ascii="宋体" w:hAnsi="宋体" w:eastAsia="宋体" w:cs="宋体"/>
                <w:bCs/>
                <w:sz w:val="30"/>
                <w:szCs w:val="30"/>
              </w:rPr>
              <w:t>招标代理机构：</w:t>
            </w:r>
          </w:p>
        </w:tc>
        <w:tc>
          <w:tcPr>
            <w:tcW w:w="5175" w:type="dxa"/>
            <w:vAlign w:val="center"/>
          </w:tcPr>
          <w:p>
            <w:pPr>
              <w:pStyle w:val="9"/>
              <w:spacing w:after="0" w:line="360" w:lineRule="auto"/>
              <w:jc w:val="distribute"/>
              <w:rPr>
                <w:rFonts w:hint="eastAsia" w:ascii="宋体" w:hAnsi="宋体" w:eastAsia="宋体" w:cs="宋体"/>
                <w:bCs/>
                <w:sz w:val="32"/>
                <w:szCs w:val="22"/>
              </w:rPr>
            </w:pPr>
            <w:r>
              <w:rPr>
                <w:rFonts w:hint="eastAsia" w:ascii="宋体" w:hAnsi="宋体" w:eastAsia="宋体" w:cs="宋体"/>
                <w:bCs/>
                <w:sz w:val="30"/>
                <w:szCs w:val="30"/>
              </w:rPr>
              <w:t>济南建招工程咨询有限公司</w:t>
            </w:r>
          </w:p>
        </w:tc>
      </w:tr>
      <w:tr>
        <w:tblPrEx>
          <w:tblCellMar>
            <w:top w:w="0" w:type="dxa"/>
            <w:left w:w="108" w:type="dxa"/>
            <w:bottom w:w="0" w:type="dxa"/>
            <w:right w:w="108" w:type="dxa"/>
          </w:tblCellMar>
        </w:tblPrEx>
        <w:trPr>
          <w:trHeight w:val="564" w:hRule="atLeast"/>
          <w:jc w:val="center"/>
        </w:trPr>
        <w:tc>
          <w:tcPr>
            <w:tcW w:w="7364" w:type="dxa"/>
            <w:gridSpan w:val="2"/>
            <w:vAlign w:val="center"/>
          </w:tcPr>
          <w:p>
            <w:pPr>
              <w:spacing w:line="360" w:lineRule="auto"/>
              <w:jc w:val="center"/>
              <w:rPr>
                <w:rFonts w:hint="eastAsia" w:ascii="宋体" w:hAnsi="宋体" w:eastAsia="宋体" w:cs="宋体"/>
                <w:bCs/>
                <w:sz w:val="32"/>
              </w:rPr>
            </w:pPr>
            <w:r>
              <w:rPr>
                <w:rFonts w:hint="eastAsia" w:ascii="宋体" w:hAnsi="宋体" w:eastAsia="宋体" w:cs="宋体"/>
                <w:bCs/>
                <w:sz w:val="30"/>
                <w:szCs w:val="30"/>
              </w:rPr>
              <w:t>二0二三年</w:t>
            </w:r>
            <w:r>
              <w:rPr>
                <w:rFonts w:hint="eastAsia" w:ascii="宋体" w:hAnsi="宋体" w:eastAsia="宋体" w:cs="宋体"/>
                <w:bCs/>
                <w:sz w:val="30"/>
                <w:szCs w:val="30"/>
                <w:lang w:val="en-US" w:eastAsia="zh-CN"/>
              </w:rPr>
              <w:t>十一</w:t>
            </w:r>
            <w:r>
              <w:rPr>
                <w:rFonts w:hint="eastAsia" w:ascii="宋体" w:hAnsi="宋体" w:eastAsia="宋体" w:cs="宋体"/>
                <w:bCs/>
                <w:sz w:val="30"/>
                <w:szCs w:val="30"/>
              </w:rPr>
              <w:t>月</w:t>
            </w:r>
          </w:p>
        </w:tc>
      </w:tr>
    </w:tbl>
    <w:p>
      <w:pPr>
        <w:widowControl/>
        <w:spacing w:line="360" w:lineRule="auto"/>
        <w:jc w:val="center"/>
        <w:rPr>
          <w:rFonts w:hint="eastAsia" w:ascii="宋体" w:hAnsi="宋体" w:eastAsia="宋体" w:cs="宋体"/>
          <w:bCs/>
          <w:sz w:val="40"/>
          <w:szCs w:val="28"/>
        </w:rPr>
        <w:sectPr>
          <w:headerReference r:id="rId4" w:type="first"/>
          <w:headerReference r:id="rId3" w:type="default"/>
          <w:type w:val="continuous"/>
          <w:pgSz w:w="11907" w:h="16840"/>
          <w:pgMar w:top="1985" w:right="1418" w:bottom="1418" w:left="1418" w:header="851" w:footer="851" w:gutter="0"/>
          <w:cols w:space="720" w:num="1"/>
          <w:titlePg/>
          <w:docGrid w:type="linesAndChars" w:linePitch="290" w:charSpace="-3931"/>
        </w:sectPr>
      </w:pPr>
    </w:p>
    <w:p>
      <w:pPr>
        <w:spacing w:line="360" w:lineRule="auto"/>
        <w:rPr>
          <w:rFonts w:hint="eastAsia" w:ascii="宋体" w:hAnsi="宋体" w:eastAsia="宋体" w:cs="宋体"/>
          <w:bCs/>
          <w:sz w:val="40"/>
          <w:szCs w:val="28"/>
        </w:rPr>
      </w:pPr>
    </w:p>
    <w:p>
      <w:pPr>
        <w:widowControl/>
        <w:spacing w:line="360" w:lineRule="auto"/>
        <w:jc w:val="center"/>
        <w:rPr>
          <w:rFonts w:hint="eastAsia" w:ascii="宋体" w:hAnsi="宋体" w:eastAsia="宋体" w:cs="宋体"/>
          <w:bCs/>
          <w:sz w:val="40"/>
          <w:szCs w:val="28"/>
        </w:rPr>
      </w:pPr>
      <w:r>
        <w:rPr>
          <w:rFonts w:hint="eastAsia" w:ascii="宋体" w:hAnsi="宋体" w:eastAsia="宋体" w:cs="宋体"/>
          <w:bCs/>
          <w:sz w:val="40"/>
          <w:szCs w:val="28"/>
        </w:rPr>
        <w:t>目   录</w:t>
      </w:r>
    </w:p>
    <w:p>
      <w:pPr>
        <w:pStyle w:val="18"/>
        <w:tabs>
          <w:tab w:val="right" w:leader="dot" w:pos="9071"/>
        </w:tabs>
        <w:spacing w:line="360" w:lineRule="auto"/>
        <w:rPr>
          <w:rFonts w:hint="eastAsia" w:ascii="宋体" w:hAnsi="宋体" w:eastAsia="宋体" w:cs="宋体"/>
          <w:sz w:val="24"/>
        </w:rPr>
      </w:pPr>
      <w:r>
        <w:rPr>
          <w:rFonts w:hint="eastAsia" w:ascii="宋体" w:hAnsi="宋体" w:eastAsia="宋体" w:cs="宋体"/>
          <w:bCs/>
          <w:sz w:val="24"/>
        </w:rPr>
        <w:fldChar w:fldCharType="begin"/>
      </w:r>
      <w:r>
        <w:rPr>
          <w:rFonts w:hint="eastAsia" w:ascii="宋体" w:hAnsi="宋体" w:eastAsia="宋体" w:cs="宋体"/>
          <w:bCs/>
          <w:sz w:val="24"/>
        </w:rPr>
        <w:instrText xml:space="preserve">TOC \o "1-2" \h \u </w:instrText>
      </w:r>
      <w:r>
        <w:rPr>
          <w:rFonts w:hint="eastAsia" w:ascii="宋体" w:hAnsi="宋体" w:eastAsia="宋体" w:cs="宋体"/>
          <w:bCs/>
          <w:sz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"_Toc3592" </w:instrText>
      </w:r>
      <w:r>
        <w:rPr>
          <w:rFonts w:hint="eastAsia" w:ascii="宋体" w:hAnsi="宋体" w:eastAsia="宋体" w:cs="宋体"/>
        </w:rPr>
        <w:fldChar w:fldCharType="separate"/>
      </w:r>
      <w:r>
        <w:rPr>
          <w:rFonts w:hint="eastAsia" w:ascii="宋体" w:hAnsi="宋体" w:eastAsia="宋体" w:cs="宋体"/>
          <w:sz w:val="24"/>
        </w:rPr>
        <w:t>第一部分  招标公告</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_Toc3592 </w:instrText>
      </w:r>
      <w:r>
        <w:rPr>
          <w:rFonts w:hint="eastAsia" w:ascii="宋体" w:hAnsi="宋体" w:eastAsia="宋体" w:cs="宋体"/>
          <w:sz w:val="24"/>
        </w:rPr>
        <w:fldChar w:fldCharType="separate"/>
      </w:r>
      <w:r>
        <w:rPr>
          <w:rFonts w:hint="eastAsia" w:ascii="宋体" w:hAnsi="宋体" w:eastAsia="宋体" w:cs="宋体"/>
          <w:sz w:val="24"/>
        </w:rPr>
        <w:t>2</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8"/>
        <w:tabs>
          <w:tab w:val="right" w:leader="dot" w:pos="9071"/>
        </w:tabs>
        <w:spacing w:line="360" w:lineRule="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"_Toc12907" </w:instrText>
      </w:r>
      <w:r>
        <w:rPr>
          <w:rFonts w:hint="eastAsia" w:ascii="宋体" w:hAnsi="宋体" w:eastAsia="宋体" w:cs="宋体"/>
        </w:rPr>
        <w:fldChar w:fldCharType="separate"/>
      </w:r>
      <w:r>
        <w:rPr>
          <w:rFonts w:hint="eastAsia" w:ascii="宋体" w:hAnsi="宋体" w:eastAsia="宋体" w:cs="宋体"/>
          <w:sz w:val="24"/>
        </w:rPr>
        <w:t>第二部分  招标须知</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_Toc12907 </w:instrText>
      </w:r>
      <w:r>
        <w:rPr>
          <w:rFonts w:hint="eastAsia" w:ascii="宋体" w:hAnsi="宋体" w:eastAsia="宋体" w:cs="宋体"/>
          <w:sz w:val="24"/>
        </w:rPr>
        <w:fldChar w:fldCharType="separate"/>
      </w:r>
      <w:r>
        <w:rPr>
          <w:rFonts w:hint="eastAsia" w:ascii="宋体" w:hAnsi="宋体" w:eastAsia="宋体" w:cs="宋体"/>
          <w:sz w:val="24"/>
        </w:rPr>
        <w:t>5</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18"/>
        <w:tabs>
          <w:tab w:val="right" w:leader="dot" w:pos="9071"/>
        </w:tabs>
        <w:spacing w:line="360" w:lineRule="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"_Toc16275" </w:instrText>
      </w:r>
      <w:r>
        <w:rPr>
          <w:rFonts w:hint="eastAsia" w:ascii="宋体" w:hAnsi="宋体" w:eastAsia="宋体" w:cs="宋体"/>
        </w:rPr>
        <w:fldChar w:fldCharType="separate"/>
      </w:r>
      <w:r>
        <w:rPr>
          <w:rFonts w:hint="eastAsia" w:ascii="宋体" w:hAnsi="宋体" w:eastAsia="宋体" w:cs="宋体"/>
          <w:sz w:val="24"/>
        </w:rPr>
        <w:t>第三部分  采购需求</w:t>
      </w:r>
      <w:r>
        <w:rPr>
          <w:rFonts w:hint="eastAsia" w:ascii="宋体" w:hAnsi="宋体" w:eastAsia="宋体" w:cs="宋体"/>
          <w:sz w:val="24"/>
        </w:rPr>
        <w:tab/>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8</w:t>
      </w:r>
    </w:p>
    <w:p>
      <w:pPr>
        <w:pStyle w:val="18"/>
        <w:tabs>
          <w:tab w:val="right" w:leader="dot" w:pos="9071"/>
        </w:tabs>
        <w:spacing w:line="360" w:lineRule="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"_Toc277" </w:instrText>
      </w:r>
      <w:r>
        <w:rPr>
          <w:rFonts w:hint="eastAsia" w:ascii="宋体" w:hAnsi="宋体" w:eastAsia="宋体" w:cs="宋体"/>
        </w:rPr>
        <w:fldChar w:fldCharType="separate"/>
      </w:r>
      <w:r>
        <w:rPr>
          <w:rFonts w:hint="eastAsia" w:ascii="宋体" w:hAnsi="宋体" w:eastAsia="宋体" w:cs="宋体"/>
          <w:sz w:val="24"/>
        </w:rPr>
        <w:t>第四部分  合同条款</w:t>
      </w:r>
      <w:r>
        <w:rPr>
          <w:rFonts w:hint="eastAsia" w:ascii="宋体" w:hAnsi="宋体" w:eastAsia="宋体" w:cs="宋体"/>
          <w:sz w:val="24"/>
        </w:rPr>
        <w:tab/>
      </w:r>
      <w:r>
        <w:rPr>
          <w:rFonts w:hint="eastAsia" w:ascii="宋体" w:hAnsi="宋体" w:eastAsia="宋体" w:cs="宋体"/>
          <w:sz w:val="24"/>
        </w:rPr>
        <w:t>19</w:t>
      </w:r>
      <w:r>
        <w:rPr>
          <w:rFonts w:hint="eastAsia" w:ascii="宋体" w:hAnsi="宋体" w:eastAsia="宋体" w:cs="宋体"/>
          <w:sz w:val="24"/>
        </w:rPr>
        <w:fldChar w:fldCharType="end"/>
      </w:r>
    </w:p>
    <w:p>
      <w:pPr>
        <w:pStyle w:val="18"/>
        <w:tabs>
          <w:tab w:val="right" w:leader="dot" w:pos="9071"/>
        </w:tabs>
        <w:spacing w:line="360" w:lineRule="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"_Toc11512" </w:instrText>
      </w:r>
      <w:r>
        <w:rPr>
          <w:rFonts w:hint="eastAsia" w:ascii="宋体" w:hAnsi="宋体" w:eastAsia="宋体" w:cs="宋体"/>
        </w:rPr>
        <w:fldChar w:fldCharType="separate"/>
      </w:r>
      <w:r>
        <w:rPr>
          <w:rFonts w:hint="eastAsia" w:ascii="宋体" w:hAnsi="宋体" w:eastAsia="宋体" w:cs="宋体"/>
          <w:sz w:val="24"/>
        </w:rPr>
        <w:t>第五部分  附   件</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_Toc11512 </w:instrText>
      </w:r>
      <w:r>
        <w:rPr>
          <w:rFonts w:hint="eastAsia" w:ascii="宋体" w:hAnsi="宋体" w:eastAsia="宋体" w:cs="宋体"/>
          <w:sz w:val="24"/>
        </w:rPr>
        <w:fldChar w:fldCharType="separate"/>
      </w:r>
      <w:r>
        <w:rPr>
          <w:rFonts w:hint="eastAsia" w:ascii="宋体" w:hAnsi="宋体" w:eastAsia="宋体" w:cs="宋体"/>
          <w:sz w:val="24"/>
        </w:rPr>
        <w:t>27</w:t>
      </w:r>
      <w:r>
        <w:rPr>
          <w:rFonts w:hint="eastAsia" w:ascii="宋体" w:hAnsi="宋体" w:eastAsia="宋体" w:cs="宋体"/>
          <w:sz w:val="24"/>
        </w:rPr>
        <w:fldChar w:fldCharType="end"/>
      </w:r>
      <w:r>
        <w:rPr>
          <w:rFonts w:hint="eastAsia" w:ascii="宋体" w:hAnsi="宋体" w:eastAsia="宋体" w:cs="宋体"/>
          <w:sz w:val="24"/>
        </w:rPr>
        <w:fldChar w:fldCharType="end"/>
      </w:r>
    </w:p>
    <w:p>
      <w:pPr>
        <w:spacing w:line="360" w:lineRule="auto"/>
        <w:rPr>
          <w:rFonts w:hint="eastAsia" w:ascii="宋体" w:hAnsi="宋体" w:eastAsia="宋体" w:cs="宋体"/>
          <w:bCs/>
          <w:sz w:val="24"/>
        </w:rPr>
      </w:pPr>
      <w:r>
        <w:rPr>
          <w:rFonts w:hint="eastAsia" w:ascii="宋体" w:hAnsi="宋体" w:eastAsia="宋体" w:cs="宋体"/>
          <w:bCs/>
          <w:sz w:val="24"/>
        </w:rPr>
        <w:fldChar w:fldCharType="end"/>
      </w:r>
    </w:p>
    <w:p>
      <w:pPr>
        <w:spacing w:line="360" w:lineRule="auto"/>
        <w:jc w:val="center"/>
        <w:rPr>
          <w:rFonts w:hint="eastAsia" w:ascii="宋体" w:hAnsi="宋体" w:eastAsia="宋体" w:cs="宋体"/>
          <w:bCs/>
          <w:szCs w:val="21"/>
        </w:rPr>
      </w:pPr>
    </w:p>
    <w:p>
      <w:pPr>
        <w:spacing w:line="360" w:lineRule="auto"/>
        <w:jc w:val="center"/>
        <w:rPr>
          <w:rFonts w:hint="eastAsia" w:ascii="宋体" w:hAnsi="宋体" w:eastAsia="宋体" w:cs="宋体"/>
          <w:bCs/>
          <w:szCs w:val="21"/>
        </w:rPr>
      </w:pPr>
    </w:p>
    <w:p>
      <w:pPr>
        <w:spacing w:line="360" w:lineRule="auto"/>
        <w:jc w:val="center"/>
        <w:rPr>
          <w:rFonts w:hint="eastAsia" w:ascii="宋体" w:hAnsi="宋体" w:eastAsia="宋体" w:cs="宋体"/>
          <w:bCs/>
          <w:szCs w:val="21"/>
        </w:rPr>
      </w:pPr>
    </w:p>
    <w:p>
      <w:pPr>
        <w:spacing w:line="360" w:lineRule="auto"/>
        <w:rPr>
          <w:rFonts w:hint="eastAsia" w:ascii="宋体" w:hAnsi="宋体" w:eastAsia="宋体" w:cs="宋体"/>
          <w:bCs/>
          <w:sz w:val="36"/>
        </w:rPr>
      </w:pPr>
    </w:p>
    <w:p>
      <w:pPr>
        <w:pStyle w:val="2"/>
        <w:spacing w:before="0" w:after="0" w:line="360" w:lineRule="auto"/>
        <w:jc w:val="center"/>
        <w:rPr>
          <w:rFonts w:hint="eastAsia" w:ascii="宋体" w:hAnsi="宋体" w:eastAsia="宋体" w:cs="宋体"/>
          <w:b w:val="0"/>
        </w:rPr>
      </w:pPr>
      <w:r>
        <w:rPr>
          <w:rFonts w:hint="eastAsia" w:ascii="宋体" w:hAnsi="宋体" w:eastAsia="宋体" w:cs="宋体"/>
          <w:b w:val="0"/>
        </w:rPr>
        <w:br w:type="page"/>
      </w:r>
      <w:bookmarkStart w:id="1" w:name="_Toc3592"/>
      <w:r>
        <w:rPr>
          <w:rFonts w:hint="eastAsia" w:ascii="宋体" w:hAnsi="宋体" w:eastAsia="宋体" w:cs="宋体"/>
          <w:b w:val="0"/>
        </w:rPr>
        <w:t xml:space="preserve">第一部分  </w:t>
      </w:r>
      <w:bookmarkEnd w:id="1"/>
      <w:r>
        <w:rPr>
          <w:rFonts w:hint="eastAsia" w:ascii="宋体" w:hAnsi="宋体" w:eastAsia="宋体" w:cs="宋体"/>
          <w:b w:val="0"/>
        </w:rPr>
        <w:t>招标公告</w:t>
      </w:r>
    </w:p>
    <w:p>
      <w:pPr>
        <w:widowControl/>
        <w:spacing w:line="360" w:lineRule="auto"/>
        <w:jc w:val="left"/>
        <w:rPr>
          <w:rFonts w:hint="eastAsia" w:ascii="宋体" w:hAnsi="宋体" w:eastAsia="宋体" w:cs="宋体"/>
          <w:color w:val="000000" w:themeColor="text1"/>
          <w:kern w:val="0"/>
          <w:sz w:val="24"/>
          <w14:textFill>
            <w14:solidFill>
              <w14:schemeClr w14:val="tx1"/>
            </w14:solidFill>
          </w14:textFill>
        </w:rPr>
      </w:pPr>
    </w:p>
    <w:p>
      <w:pPr>
        <w:widowControl/>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一、招标条件：</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济南建招工程咨询有限公司受济南轻骑标致摩托车有限公司的委托对</w:t>
      </w:r>
      <w:r>
        <w:rPr>
          <w:rFonts w:hint="eastAsia" w:ascii="宋体" w:hAnsi="宋体" w:eastAsia="宋体" w:cs="宋体"/>
          <w:color w:val="000000" w:themeColor="text1"/>
          <w:kern w:val="0"/>
          <w:sz w:val="24"/>
          <w:lang w:eastAsia="zh-CN"/>
          <w14:textFill>
            <w14:solidFill>
              <w14:schemeClr w14:val="tx1"/>
            </w14:solidFill>
          </w14:textFill>
        </w:rPr>
        <w:t>济南轻骑标致摩托车有限公司职工食堂配餐服务招标项目</w:t>
      </w:r>
      <w:r>
        <w:rPr>
          <w:rFonts w:hint="eastAsia" w:ascii="宋体" w:hAnsi="宋体" w:eastAsia="宋体" w:cs="宋体"/>
          <w:color w:val="000000" w:themeColor="text1"/>
          <w:kern w:val="0"/>
          <w:sz w:val="24"/>
          <w14:textFill>
            <w14:solidFill>
              <w14:schemeClr w14:val="tx1"/>
            </w14:solidFill>
          </w14:textFill>
        </w:rPr>
        <w:t xml:space="preserve">项目进行公开招标。现邀请合格投标人参加。 </w:t>
      </w:r>
    </w:p>
    <w:p>
      <w:pPr>
        <w:widowControl/>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二、项目概况 </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本次招标项目主要负责标致公司职工午餐和日常来客招待用餐及加班餐。</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1、职工餐厅面积约700平方米，各功能区分布在2个楼层，1层操作间、2层配餐区、员工就餐区，工作日常就餐需求人员约300人，开餐时间11：30-12：30。</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2、日常不定时需要满足会议、外部供应商等就餐需求。非工作日午餐根据我司计划工作安排，实际确定就餐人数。</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3、班后加班根据公司计划要求安排，晚加班就餐时间：16：45-5：00（配送方式：配送到车间各分部公共休息区）。</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4、承包时间:合同招标期限为三年；根据公司对食堂运营方的综合评价，双方无异议可在上年合同结束前一个月续签下一年合同。</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5、承包经营期间，餐厅水、电、天然气费用、排烟机清洗及基础设施以及餐桌餐具厨具等现有设备由轻骑标致承担，如有损坏由轻骑标致负责维修及承担相关费用。</w:t>
      </w:r>
    </w:p>
    <w:p>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333333"/>
          <w:sz w:val="24"/>
        </w:rPr>
        <w:t>三、招标范围：</w:t>
      </w:r>
      <w:r>
        <w:rPr>
          <w:rFonts w:hint="eastAsia" w:ascii="宋体" w:hAnsi="宋体" w:eastAsia="宋体" w:cs="宋体"/>
          <w:color w:val="000000" w:themeColor="text1"/>
          <w:kern w:val="0"/>
          <w:sz w:val="24"/>
          <w14:textFill>
            <w14:solidFill>
              <w14:schemeClr w14:val="tx1"/>
            </w14:solidFill>
          </w14:textFill>
        </w:rPr>
        <w:t xml:space="preserve">具体参数及具体要求详见招标技术规范书。 </w:t>
      </w:r>
    </w:p>
    <w:p>
      <w:pPr>
        <w:widowControl/>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四、投标人资格要求：</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1、投标人应是中华人民共和国境内法律上和财务上独立的法人或依法登记注册的组织。 </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2、投标人的法定代表人或单位负责人为同一人或者存在控股、管理关系的不同单位，不得参加同一招标项目的投标。</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3、投标人具有《食品生产许可证》或《食品经营许可证》。</w:t>
      </w:r>
    </w:p>
    <w:p>
      <w:pPr>
        <w:widowControl/>
        <w:spacing w:line="360" w:lineRule="auto"/>
        <w:ind w:firstLine="442" w:firstLineChars="200"/>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4、服务工作人员持有有效期内的个人健康证，到期前1个月需及时办理新健康证件。</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提供承诺</w:t>
      </w:r>
      <w:r>
        <w:rPr>
          <w:rFonts w:hint="eastAsia" w:ascii="宋体" w:hAnsi="宋体" w:eastAsia="宋体" w:cs="宋体"/>
          <w:color w:val="000000" w:themeColor="text1"/>
          <w:kern w:val="0"/>
          <w:sz w:val="24"/>
          <w:lang w:eastAsia="zh-CN"/>
          <w14:textFill>
            <w14:solidFill>
              <w14:schemeClr w14:val="tx1"/>
            </w14:solidFill>
          </w14:textFill>
        </w:rPr>
        <w:t>）</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5、投标人近3年（2020年1月1日至今）至少一项同等规模餐厅运营管理服务项目（同时具有承接过300人以上餐厅委托管理项目业绩、且无重大食品安全事故记录），并提供合同原件。</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投标人近3年内在经营活动中无重大违法记录，被“信用中国”（www.creditchina.gov.cn）列入失信被执行人名单或重大税收违法案件当事人名单或被中国政府采购网（www.ccgp.gov.cn）列入政府采购严重违法失信行为记录名单或被国家企业信用信息公示系统（www.gsxt.gov.cn）列入严重违法失信企业名单；</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7、本项目不接受联合体，中标后不得分包或转包。</w:t>
      </w:r>
    </w:p>
    <w:p>
      <w:pPr>
        <w:widowControl/>
        <w:spacing w:line="360" w:lineRule="auto"/>
        <w:ind w:firstLine="442" w:firstLineChars="200"/>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8、投标人需提供至少一家目前运营的的项目供招标人进行现场考察；投标人也需提前到招标人现场进行查勘以便充分了解食堂情况；对未进行双方现场考察的投标无效。</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报名时提供考察案例地址和联系方式</w:t>
      </w:r>
      <w:r>
        <w:rPr>
          <w:rFonts w:hint="eastAsia" w:ascii="宋体" w:hAnsi="宋体" w:eastAsia="宋体" w:cs="宋体"/>
          <w:color w:val="000000" w:themeColor="text1"/>
          <w:kern w:val="0"/>
          <w:sz w:val="24"/>
          <w:lang w:eastAsia="zh-CN"/>
          <w14:textFill>
            <w14:solidFill>
              <w14:schemeClr w14:val="tx1"/>
            </w14:solidFill>
          </w14:textFill>
        </w:rPr>
        <w:t>）</w:t>
      </w:r>
    </w:p>
    <w:p>
      <w:pPr>
        <w:widowControl/>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五、报名时间、方式及地点 </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1、时间：2023年</w:t>
      </w:r>
      <w:r>
        <w:rPr>
          <w:rFonts w:hint="eastAsia" w:ascii="宋体" w:hAnsi="宋体" w:eastAsia="宋体" w:cs="宋体"/>
          <w:color w:val="000000" w:themeColor="text1"/>
          <w:kern w:val="0"/>
          <w:sz w:val="24"/>
          <w:lang w:val="en-US" w:eastAsia="zh-CN"/>
          <w14:textFill>
            <w14:solidFill>
              <w14:schemeClr w14:val="tx1"/>
            </w14:solidFill>
          </w14:textFill>
        </w:rPr>
        <w:t>11</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eastAsia="宋体" w:cs="宋体"/>
          <w:color w:val="000000" w:themeColor="text1"/>
          <w:kern w:val="0"/>
          <w:sz w:val="24"/>
          <w:lang w:val="en-US" w:eastAsia="zh-CN"/>
          <w14:textFill>
            <w14:solidFill>
              <w14:schemeClr w14:val="tx1"/>
            </w14:solidFill>
          </w14:textFill>
        </w:rPr>
        <w:t>10</w:t>
      </w:r>
      <w:r>
        <w:rPr>
          <w:rFonts w:hint="eastAsia" w:ascii="宋体" w:hAnsi="宋体" w:eastAsia="宋体" w:cs="宋体"/>
          <w:color w:val="000000" w:themeColor="text1"/>
          <w:kern w:val="0"/>
          <w:sz w:val="24"/>
          <w14:textFill>
            <w14:solidFill>
              <w14:schemeClr w14:val="tx1"/>
            </w14:solidFill>
          </w14:textFill>
        </w:rPr>
        <w:t>日—2023年</w:t>
      </w:r>
      <w:r>
        <w:rPr>
          <w:rFonts w:hint="eastAsia" w:ascii="宋体" w:hAnsi="宋体" w:eastAsia="宋体" w:cs="宋体"/>
          <w:color w:val="000000" w:themeColor="text1"/>
          <w:kern w:val="0"/>
          <w:sz w:val="24"/>
          <w:lang w:val="en-US" w:eastAsia="zh-CN"/>
          <w14:textFill>
            <w14:solidFill>
              <w14:schemeClr w14:val="tx1"/>
            </w14:solidFill>
          </w14:textFill>
        </w:rPr>
        <w:t>11</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eastAsia="宋体" w:cs="宋体"/>
          <w:color w:val="000000" w:themeColor="text1"/>
          <w:kern w:val="0"/>
          <w:sz w:val="24"/>
          <w:lang w:val="en-US" w:eastAsia="zh-CN"/>
          <w14:textFill>
            <w14:solidFill>
              <w14:schemeClr w14:val="tx1"/>
            </w14:solidFill>
          </w14:textFill>
        </w:rPr>
        <w:t>16</w:t>
      </w:r>
      <w:r>
        <w:rPr>
          <w:rFonts w:hint="eastAsia" w:ascii="宋体" w:hAnsi="宋体" w:eastAsia="宋体" w:cs="宋体"/>
          <w:color w:val="000000" w:themeColor="text1"/>
          <w:kern w:val="0"/>
          <w:sz w:val="24"/>
          <w14:textFill>
            <w14:solidFill>
              <w14:schemeClr w14:val="tx1"/>
            </w14:solidFill>
          </w14:textFill>
        </w:rPr>
        <w:t xml:space="preserve">日（北京时间8:30-11:30，13:30-16:30） </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2、方式：凡有意参加的投标人，请于2023年</w:t>
      </w:r>
      <w:r>
        <w:rPr>
          <w:rFonts w:hint="eastAsia" w:ascii="宋体" w:hAnsi="宋体" w:eastAsia="宋体" w:cs="宋体"/>
          <w:color w:val="000000" w:themeColor="text1"/>
          <w:kern w:val="0"/>
          <w:sz w:val="24"/>
          <w:lang w:val="en-US" w:eastAsia="zh-CN"/>
          <w14:textFill>
            <w14:solidFill>
              <w14:schemeClr w14:val="tx1"/>
            </w14:solidFill>
          </w14:textFill>
        </w:rPr>
        <w:t>11</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eastAsia="宋体" w:cs="宋体"/>
          <w:color w:val="000000" w:themeColor="text1"/>
          <w:kern w:val="0"/>
          <w:sz w:val="24"/>
          <w:lang w:val="en-US" w:eastAsia="zh-CN"/>
          <w14:textFill>
            <w14:solidFill>
              <w14:schemeClr w14:val="tx1"/>
            </w14:solidFill>
          </w14:textFill>
        </w:rPr>
        <w:t>16</w:t>
      </w:r>
      <w:r>
        <w:rPr>
          <w:rFonts w:hint="eastAsia" w:ascii="宋体" w:hAnsi="宋体" w:eastAsia="宋体" w:cs="宋体"/>
          <w:color w:val="000000" w:themeColor="text1"/>
          <w:kern w:val="0"/>
          <w:sz w:val="24"/>
          <w14:textFill>
            <w14:solidFill>
              <w14:schemeClr w14:val="tx1"/>
            </w14:solidFill>
          </w14:textFill>
        </w:rPr>
        <w:t>日16:30时前将以下资料原件扫描发送至邮箱jnjzjnfgs@163.com（项目名称+投标企业名称+联系人和电话）并电话通知代理机构。报名时的资料查验不代表资格审查的最终通过或合格。</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1）营业执照；2）法定代表人授权委托书及被授权人身份证；</w:t>
      </w:r>
      <w:r>
        <w:rPr>
          <w:rFonts w:hint="eastAsia" w:ascii="宋体" w:hAnsi="宋体" w:eastAsia="宋体" w:cs="宋体"/>
          <w:color w:val="333333"/>
          <w:sz w:val="24"/>
          <w:lang w:val="en-US" w:eastAsia="zh-CN"/>
        </w:rPr>
        <w:t>3</w:t>
      </w:r>
      <w:r>
        <w:rPr>
          <w:rFonts w:hint="eastAsia" w:ascii="宋体" w:hAnsi="宋体" w:eastAsia="宋体" w:cs="宋体"/>
          <w:color w:val="333333"/>
          <w:sz w:val="24"/>
        </w:rPr>
        <w:t>）</w:t>
      </w:r>
      <w:r>
        <w:rPr>
          <w:rFonts w:hint="eastAsia" w:ascii="宋体" w:hAnsi="宋体" w:eastAsia="宋体" w:cs="宋体"/>
          <w:color w:val="000000" w:themeColor="text1"/>
          <w:kern w:val="0"/>
          <w:sz w:val="24"/>
          <w14:textFill>
            <w14:solidFill>
              <w14:schemeClr w14:val="tx1"/>
            </w14:solidFill>
          </w14:textFill>
        </w:rPr>
        <w:t>项目联系人及联系方式</w:t>
      </w:r>
      <w:r>
        <w:rPr>
          <w:rFonts w:hint="eastAsia" w:ascii="宋体" w:hAnsi="宋体" w:eastAsia="宋体" w:cs="宋体"/>
          <w:color w:val="000000" w:themeColor="text1"/>
          <w:kern w:val="0"/>
          <w:sz w:val="24"/>
          <w:lang w:val="en-US" w:eastAsia="zh-CN"/>
          <w14:textFill>
            <w14:solidFill>
              <w14:schemeClr w14:val="tx1"/>
            </w14:solidFill>
          </w14:textFill>
        </w:rPr>
        <w:t>4）业绩证明资料；5）考察案例</w:t>
      </w:r>
      <w:r>
        <w:rPr>
          <w:rFonts w:hint="eastAsia" w:ascii="宋体" w:hAnsi="宋体" w:eastAsia="宋体" w:cs="宋体"/>
          <w:color w:val="000000" w:themeColor="text1"/>
          <w:kern w:val="0"/>
          <w:sz w:val="24"/>
          <w14:textFill>
            <w14:solidFill>
              <w14:schemeClr w14:val="tx1"/>
            </w14:solidFill>
          </w14:textFill>
        </w:rPr>
        <w:t>。</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3、标书费：500元/本   </w:t>
      </w:r>
    </w:p>
    <w:p>
      <w:pPr>
        <w:widowControl/>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六、资格审查方式 ：资格后审</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报名时通过不代表最终资格审查通过</w:t>
      </w:r>
      <w:r>
        <w:rPr>
          <w:rFonts w:hint="eastAsia" w:ascii="宋体" w:hAnsi="宋体" w:eastAsia="宋体" w:cs="宋体"/>
          <w:color w:val="000000" w:themeColor="text1"/>
          <w:kern w:val="0"/>
          <w:sz w:val="24"/>
          <w14:textFill>
            <w14:solidFill>
              <w14:schemeClr w14:val="tx1"/>
            </w14:solidFill>
          </w14:textFill>
        </w:rPr>
        <w:t>。</w:t>
      </w:r>
    </w:p>
    <w:p>
      <w:pPr>
        <w:widowControl/>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七、发布公告的媒介 ：</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本次招标公告在中国招投标公共服务平台发布。 </w:t>
      </w:r>
    </w:p>
    <w:p>
      <w:pPr>
        <w:widowControl/>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八、联系方式 ：</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招标代理机构：济南建招工程咨询有限公司</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联系人：孙老师</w:t>
      </w:r>
    </w:p>
    <w:p>
      <w:pPr>
        <w:widowControl/>
        <w:spacing w:line="360" w:lineRule="auto"/>
        <w:ind w:firstLine="442" w:firstLineChars="200"/>
        <w:jc w:val="left"/>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电  话：</w:t>
      </w:r>
      <w:r>
        <w:rPr>
          <w:rFonts w:hint="eastAsia" w:ascii="宋体" w:hAnsi="宋体" w:eastAsia="宋体" w:cs="宋体"/>
          <w:color w:val="000000" w:themeColor="text1"/>
          <w:kern w:val="0"/>
          <w:sz w:val="24"/>
          <w:lang w:val="en-US" w:eastAsia="zh-CN"/>
          <w14:textFill>
            <w14:solidFill>
              <w14:schemeClr w14:val="tx1"/>
            </w14:solidFill>
          </w14:textFill>
        </w:rPr>
        <w:t>18853990026、18660780162</w:t>
      </w:r>
    </w:p>
    <w:p>
      <w:pPr>
        <w:widowControl/>
        <w:spacing w:line="360" w:lineRule="auto"/>
        <w:ind w:firstLine="442"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邮  箱：jnjzjnfgs@163.com </w:t>
      </w:r>
    </w:p>
    <w:p>
      <w:pPr>
        <w:spacing w:line="360" w:lineRule="auto"/>
        <w:rPr>
          <w:rFonts w:hint="eastAsia" w:ascii="宋体" w:hAnsi="宋体" w:eastAsia="宋体" w:cs="宋体"/>
          <w:color w:val="000000" w:themeColor="text1"/>
          <w:sz w:val="24"/>
          <w14:textFill>
            <w14:solidFill>
              <w14:schemeClr w14:val="tx1"/>
            </w14:solidFill>
          </w14:textFill>
        </w:rPr>
      </w:pPr>
    </w:p>
    <w:p>
      <w:pPr>
        <w:autoSpaceDN w:val="0"/>
        <w:spacing w:line="360" w:lineRule="auto"/>
        <w:ind w:firstLine="663" w:firstLineChars="300"/>
        <w:jc w:val="left"/>
        <w:rPr>
          <w:rFonts w:hint="eastAsia" w:ascii="宋体" w:hAnsi="宋体" w:eastAsia="宋体" w:cs="宋体"/>
          <w:color w:val="000000"/>
          <w:sz w:val="24"/>
          <w:szCs w:val="36"/>
        </w:rPr>
      </w:pPr>
    </w:p>
    <w:p>
      <w:pPr>
        <w:spacing w:line="360" w:lineRule="auto"/>
        <w:rPr>
          <w:rStyle w:val="37"/>
          <w:rFonts w:hint="eastAsia" w:ascii="宋体" w:hAnsi="宋体" w:eastAsia="宋体" w:cs="宋体"/>
          <w:b w:val="0"/>
          <w:bCs w:val="0"/>
        </w:rPr>
      </w:pPr>
      <w:bookmarkStart w:id="2" w:name="_Toc12907"/>
      <w:r>
        <w:rPr>
          <w:rStyle w:val="37"/>
          <w:rFonts w:hint="eastAsia" w:ascii="宋体" w:hAnsi="宋体" w:eastAsia="宋体" w:cs="宋体"/>
          <w:b w:val="0"/>
          <w:bCs w:val="0"/>
        </w:rPr>
        <w:br w:type="page"/>
      </w:r>
    </w:p>
    <w:p>
      <w:pPr>
        <w:autoSpaceDN w:val="0"/>
        <w:spacing w:line="360" w:lineRule="auto"/>
        <w:jc w:val="center"/>
        <w:rPr>
          <w:rFonts w:hint="eastAsia" w:ascii="宋体" w:hAnsi="宋体" w:eastAsia="宋体" w:cs="宋体"/>
        </w:rPr>
      </w:pPr>
      <w:r>
        <w:rPr>
          <w:rStyle w:val="37"/>
          <w:rFonts w:hint="eastAsia" w:ascii="宋体" w:hAnsi="宋体" w:eastAsia="宋体" w:cs="宋体"/>
          <w:b w:val="0"/>
          <w:bCs w:val="0"/>
        </w:rPr>
        <w:t>第二部分  招标须知</w:t>
      </w:r>
      <w:bookmarkEnd w:id="2"/>
    </w:p>
    <w:p>
      <w:pPr>
        <w:pStyle w:val="3"/>
        <w:spacing w:before="0" w:after="0" w:line="360" w:lineRule="auto"/>
        <w:jc w:val="center"/>
        <w:rPr>
          <w:rFonts w:hint="eastAsia" w:ascii="宋体" w:hAnsi="宋体" w:eastAsia="宋体" w:cs="宋体"/>
          <w:b w:val="0"/>
          <w:sz w:val="24"/>
          <w:szCs w:val="24"/>
        </w:rPr>
      </w:pPr>
      <w:bookmarkStart w:id="3" w:name="_Toc4464"/>
      <w:bookmarkStart w:id="4" w:name="_Toc12502"/>
      <w:bookmarkStart w:id="5" w:name="_Toc484075645"/>
      <w:bookmarkStart w:id="6" w:name="_Toc30774"/>
      <w:bookmarkStart w:id="7" w:name="_Toc351462520"/>
      <w:bookmarkStart w:id="8" w:name="_Toc5478"/>
      <w:bookmarkStart w:id="9" w:name="_Toc15566"/>
      <w:r>
        <w:rPr>
          <w:rFonts w:hint="eastAsia" w:ascii="宋体" w:hAnsi="宋体" w:eastAsia="宋体" w:cs="宋体"/>
          <w:b w:val="0"/>
          <w:sz w:val="24"/>
          <w:szCs w:val="24"/>
        </w:rPr>
        <w:t>招标须知前附表</w:t>
      </w:r>
      <w:bookmarkEnd w:id="3"/>
      <w:bookmarkEnd w:id="4"/>
      <w:bookmarkEnd w:id="5"/>
      <w:bookmarkEnd w:id="6"/>
      <w:bookmarkEnd w:id="7"/>
      <w:bookmarkEnd w:id="8"/>
      <w:bookmarkEnd w:id="9"/>
    </w:p>
    <w:tbl>
      <w:tblPr>
        <w:tblStyle w:val="2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139"/>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序号</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条 款 名 称</w:t>
            </w:r>
          </w:p>
        </w:tc>
        <w:tc>
          <w:tcPr>
            <w:tcW w:w="7078"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1</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招标单位</w:t>
            </w:r>
          </w:p>
        </w:tc>
        <w:tc>
          <w:tcPr>
            <w:tcW w:w="7078" w:type="dxa"/>
            <w:vAlign w:val="center"/>
          </w:tcPr>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招标单位名称：济南轻骑标致摩托车有限公司</w:t>
            </w:r>
          </w:p>
          <w:p>
            <w:pPr>
              <w:autoSpaceDN w:val="0"/>
              <w:spacing w:line="360" w:lineRule="auto"/>
              <w:jc w:val="left"/>
              <w:rPr>
                <w:rFonts w:hint="eastAsia" w:ascii="宋体" w:hAnsi="宋体" w:eastAsia="宋体" w:cs="宋体"/>
                <w:color w:val="000000"/>
                <w:sz w:val="24"/>
                <w:szCs w:val="36"/>
              </w:rPr>
            </w:pPr>
            <w:r>
              <w:rPr>
                <w:rFonts w:hint="eastAsia" w:ascii="宋体" w:hAnsi="宋体" w:eastAsia="宋体" w:cs="宋体"/>
                <w:color w:val="000000"/>
                <w:sz w:val="24"/>
                <w:szCs w:val="36"/>
              </w:rPr>
              <w:t>联 系 人：</w:t>
            </w:r>
            <w:r>
              <w:rPr>
                <w:rFonts w:hint="eastAsia" w:ascii="宋体" w:hAnsi="宋体" w:eastAsia="宋体" w:cs="宋体"/>
                <w:color w:val="000000"/>
                <w:sz w:val="24"/>
                <w:szCs w:val="36"/>
                <w:lang w:val="en-US" w:eastAsia="zh-CN"/>
              </w:rPr>
              <w:t>孔经理</w:t>
            </w:r>
            <w:r>
              <w:rPr>
                <w:rFonts w:hint="eastAsia" w:ascii="宋体" w:hAnsi="宋体" w:eastAsia="宋体" w:cs="宋体"/>
                <w:color w:val="000000"/>
                <w:sz w:val="24"/>
                <w:szCs w:val="36"/>
              </w:rPr>
              <w:t xml:space="preserve">                         </w:t>
            </w:r>
          </w:p>
          <w:p>
            <w:pPr>
              <w:autoSpaceDN w:val="0"/>
              <w:spacing w:line="360" w:lineRule="auto"/>
              <w:jc w:val="left"/>
              <w:rPr>
                <w:rFonts w:hint="eastAsia" w:ascii="宋体" w:hAnsi="宋体" w:eastAsia="宋体" w:cs="宋体"/>
                <w:bCs/>
                <w:spacing w:val="6"/>
                <w:sz w:val="24"/>
              </w:rPr>
            </w:pPr>
            <w:r>
              <w:rPr>
                <w:rFonts w:hint="eastAsia" w:ascii="宋体" w:hAnsi="宋体" w:eastAsia="宋体" w:cs="宋体"/>
                <w:color w:val="000000"/>
                <w:sz w:val="24"/>
                <w:szCs w:val="36"/>
              </w:rPr>
              <w:t>联系电话：15554715299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2</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项目名称</w:t>
            </w:r>
          </w:p>
        </w:tc>
        <w:tc>
          <w:tcPr>
            <w:tcW w:w="7078" w:type="dxa"/>
            <w:vAlign w:val="center"/>
          </w:tcPr>
          <w:p>
            <w:pPr>
              <w:spacing w:line="360" w:lineRule="auto"/>
              <w:jc w:val="left"/>
              <w:rPr>
                <w:rFonts w:hint="eastAsia" w:ascii="宋体" w:hAnsi="宋体" w:eastAsia="宋体" w:cs="宋体"/>
                <w:bCs/>
                <w:color w:val="FF0000"/>
                <w:spacing w:val="6"/>
                <w:sz w:val="24"/>
              </w:rPr>
            </w:pPr>
            <w:r>
              <w:rPr>
                <w:rFonts w:hint="eastAsia" w:ascii="宋体" w:hAnsi="宋体" w:eastAsia="宋体" w:cs="宋体"/>
                <w:bCs/>
                <w:spacing w:val="6"/>
                <w:sz w:val="24"/>
                <w:lang w:eastAsia="zh-CN"/>
              </w:rPr>
              <w:t>济南轻骑标致摩托车有限公司职工食堂配餐服务招标项目</w:t>
            </w:r>
            <w:r>
              <w:rPr>
                <w:rFonts w:hint="eastAsia" w:ascii="宋体" w:hAnsi="宋体" w:eastAsia="宋体" w:cs="宋体"/>
                <w:bCs/>
                <w:spacing w:val="6"/>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3</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资金来源</w:t>
            </w:r>
          </w:p>
        </w:tc>
        <w:tc>
          <w:tcPr>
            <w:tcW w:w="7078" w:type="dxa"/>
            <w:vAlign w:val="center"/>
          </w:tcPr>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4</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出资比例</w:t>
            </w:r>
          </w:p>
        </w:tc>
        <w:tc>
          <w:tcPr>
            <w:tcW w:w="7078" w:type="dxa"/>
            <w:vAlign w:val="center"/>
          </w:tcPr>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5</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资金落实情况</w:t>
            </w:r>
          </w:p>
        </w:tc>
        <w:tc>
          <w:tcPr>
            <w:tcW w:w="7078" w:type="dxa"/>
            <w:vAlign w:val="center"/>
          </w:tcPr>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6</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采购范围</w:t>
            </w:r>
          </w:p>
        </w:tc>
        <w:tc>
          <w:tcPr>
            <w:tcW w:w="7078" w:type="dxa"/>
            <w:vAlign w:val="center"/>
          </w:tcPr>
          <w:p>
            <w:pPr>
              <w:spacing w:line="360" w:lineRule="auto"/>
              <w:jc w:val="left"/>
              <w:rPr>
                <w:rFonts w:hint="eastAsia" w:ascii="宋体" w:hAnsi="宋体" w:eastAsia="宋体" w:cs="宋体"/>
                <w:bCs/>
                <w:spacing w:val="6"/>
                <w:sz w:val="24"/>
              </w:rPr>
            </w:pPr>
            <w:r>
              <w:rPr>
                <w:rFonts w:hint="eastAsia" w:ascii="宋体" w:hAnsi="宋体" w:eastAsia="宋体" w:cs="宋体"/>
                <w:bCs/>
                <w:sz w:val="24"/>
              </w:rPr>
              <w:t>详见第三部分</w:t>
            </w:r>
            <w:r>
              <w:rPr>
                <w:rFonts w:hint="eastAsia" w:ascii="宋体" w:hAnsi="宋体" w:eastAsia="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7</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质量要求</w:t>
            </w:r>
          </w:p>
        </w:tc>
        <w:tc>
          <w:tcPr>
            <w:tcW w:w="7078" w:type="dxa"/>
            <w:vAlign w:val="center"/>
          </w:tcPr>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合格。详见第三部分。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8</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投标企业资质条件、能力和信誉</w:t>
            </w:r>
          </w:p>
        </w:tc>
        <w:tc>
          <w:tcPr>
            <w:tcW w:w="7078" w:type="dxa"/>
            <w:vAlign w:val="center"/>
          </w:tcPr>
          <w:p>
            <w:pPr>
              <w:widowControl/>
              <w:spacing w:line="360" w:lineRule="auto"/>
              <w:jc w:val="left"/>
              <w:rPr>
                <w:rFonts w:hint="eastAsia" w:ascii="宋体" w:hAnsi="宋体" w:eastAsia="宋体" w:cs="宋体"/>
                <w:bCs/>
                <w:sz w:val="24"/>
              </w:rPr>
            </w:pPr>
            <w:r>
              <w:rPr>
                <w:rFonts w:hint="eastAsia" w:ascii="宋体" w:hAnsi="宋体" w:eastAsia="宋体" w:cs="宋体"/>
                <w:bCs/>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9</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踏勘现场</w:t>
            </w:r>
          </w:p>
        </w:tc>
        <w:tc>
          <w:tcPr>
            <w:tcW w:w="7078" w:type="dxa"/>
            <w:vAlign w:val="center"/>
          </w:tcPr>
          <w:p>
            <w:pPr>
              <w:adjustRightIn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本项目报名截止后统一勘察现场，费用自理。</w:t>
            </w:r>
          </w:p>
          <w:p>
            <w:pPr>
              <w:adjustRightIn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勘察时间：2023年</w:t>
            </w:r>
            <w:r>
              <w:rPr>
                <w:rFonts w:hint="eastAsia" w:ascii="宋体" w:hAnsi="宋体" w:eastAsia="宋体" w:cs="宋体"/>
                <w:color w:val="auto"/>
                <w:sz w:val="24"/>
                <w:lang w:val="en-US" w:eastAsia="zh-CN"/>
              </w:rPr>
              <w:t>11</w:t>
            </w:r>
            <w:r>
              <w:rPr>
                <w:rFonts w:hint="eastAsia" w:ascii="宋体" w:hAnsi="宋体" w:eastAsia="宋体" w:cs="宋体"/>
                <w:color w:val="auto"/>
                <w:sz w:val="24"/>
              </w:rPr>
              <w:t>月</w:t>
            </w:r>
            <w:r>
              <w:rPr>
                <w:rFonts w:hint="eastAsia" w:ascii="宋体" w:hAnsi="宋体" w:eastAsia="宋体" w:cs="宋体"/>
                <w:color w:val="auto"/>
                <w:sz w:val="24"/>
                <w:lang w:val="en-US" w:eastAsia="zh-CN"/>
              </w:rPr>
              <w:t>17</w:t>
            </w:r>
            <w:r>
              <w:rPr>
                <w:rFonts w:hint="eastAsia" w:ascii="宋体" w:hAnsi="宋体" w:eastAsia="宋体" w:cs="宋体"/>
                <w:color w:val="auto"/>
                <w:sz w:val="24"/>
              </w:rPr>
              <w:t>日上午9:30分；</w:t>
            </w:r>
          </w:p>
          <w:p>
            <w:pPr>
              <w:adjustRightIn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rPr>
              <w:t>勘察现场联系人：</w:t>
            </w:r>
            <w:r>
              <w:rPr>
                <w:rFonts w:hint="eastAsia" w:ascii="宋体" w:hAnsi="宋体" w:eastAsia="宋体" w:cs="宋体"/>
                <w:color w:val="000000"/>
                <w:sz w:val="24"/>
                <w:szCs w:val="36"/>
                <w:lang w:val="en-US" w:eastAsia="zh-CN"/>
              </w:rPr>
              <w:t>孔经理</w:t>
            </w:r>
            <w:r>
              <w:rPr>
                <w:rFonts w:hint="eastAsia" w:ascii="宋体" w:hAnsi="宋体" w:eastAsia="宋体" w:cs="宋体"/>
                <w:color w:val="auto"/>
                <w:sz w:val="24"/>
              </w:rPr>
              <w:t>，电话：15554715299</w:t>
            </w:r>
            <w:r>
              <w:rPr>
                <w:rFonts w:hint="eastAsia" w:ascii="宋体" w:hAnsi="宋体" w:eastAsia="宋体" w:cs="宋体"/>
                <w:color w:val="auto"/>
                <w:sz w:val="24"/>
                <w:lang w:val="en-US" w:eastAsia="zh-CN"/>
              </w:rPr>
              <w:t xml:space="preserve">   </w:t>
            </w:r>
          </w:p>
          <w:p>
            <w:pPr>
              <w:pStyle w:val="9"/>
              <w:rPr>
                <w:rFonts w:hint="eastAsia" w:ascii="宋体" w:hAnsi="宋体" w:eastAsia="宋体" w:cs="宋体"/>
              </w:rPr>
            </w:pPr>
            <w:r>
              <w:rPr>
                <w:rFonts w:hint="eastAsia" w:ascii="宋体" w:hAnsi="宋体" w:eastAsia="宋体" w:cs="宋体"/>
                <w:color w:val="auto"/>
                <w:sz w:val="24"/>
              </w:rPr>
              <w:t>项目地址：济南高新技术开发区孙村片区科航路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10</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分包</w:t>
            </w:r>
          </w:p>
        </w:tc>
        <w:tc>
          <w:tcPr>
            <w:tcW w:w="7078" w:type="dxa"/>
            <w:vAlign w:val="center"/>
          </w:tcPr>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11</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文件的其他材料</w:t>
            </w:r>
          </w:p>
        </w:tc>
        <w:tc>
          <w:tcPr>
            <w:tcW w:w="7078" w:type="dxa"/>
            <w:vAlign w:val="center"/>
          </w:tcPr>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12</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投标截止时间</w:t>
            </w:r>
          </w:p>
        </w:tc>
        <w:tc>
          <w:tcPr>
            <w:tcW w:w="7078" w:type="dxa"/>
            <w:vAlign w:val="center"/>
          </w:tcPr>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2023年</w:t>
            </w:r>
            <w:r>
              <w:rPr>
                <w:rFonts w:hint="eastAsia" w:ascii="宋体" w:hAnsi="宋体" w:eastAsia="宋体" w:cs="宋体"/>
                <w:bCs/>
                <w:spacing w:val="6"/>
                <w:sz w:val="24"/>
                <w:lang w:val="en-US" w:eastAsia="zh-CN"/>
              </w:rPr>
              <w:t>12</w:t>
            </w:r>
            <w:r>
              <w:rPr>
                <w:rFonts w:hint="eastAsia" w:ascii="宋体" w:hAnsi="宋体" w:eastAsia="宋体" w:cs="宋体"/>
                <w:bCs/>
                <w:spacing w:val="6"/>
                <w:sz w:val="24"/>
              </w:rPr>
              <w:t>月</w:t>
            </w:r>
            <w:r>
              <w:rPr>
                <w:rFonts w:hint="eastAsia" w:ascii="宋体" w:hAnsi="宋体" w:eastAsia="宋体" w:cs="宋体"/>
                <w:bCs/>
                <w:spacing w:val="6"/>
                <w:sz w:val="24"/>
                <w:lang w:val="en-US" w:eastAsia="zh-CN"/>
              </w:rPr>
              <w:t>4</w:t>
            </w:r>
            <w:r>
              <w:rPr>
                <w:rFonts w:hint="eastAsia" w:ascii="宋体" w:hAnsi="宋体" w:eastAsia="宋体" w:cs="宋体"/>
                <w:bCs/>
                <w:spacing w:val="6"/>
                <w:sz w:val="24"/>
              </w:rPr>
              <w:t>日14时00分（北京时间）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13</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投标有效期</w:t>
            </w:r>
          </w:p>
        </w:tc>
        <w:tc>
          <w:tcPr>
            <w:tcW w:w="7078" w:type="dxa"/>
            <w:vAlign w:val="center"/>
          </w:tcPr>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90日历天(从公开投标截止之日算起)。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14</w:t>
            </w:r>
          </w:p>
        </w:tc>
        <w:tc>
          <w:tcPr>
            <w:tcW w:w="2139" w:type="dxa"/>
            <w:vAlign w:val="center"/>
          </w:tcPr>
          <w:p>
            <w:pPr>
              <w:spacing w:line="360" w:lineRule="auto"/>
              <w:jc w:val="center"/>
              <w:rPr>
                <w:rFonts w:hint="eastAsia" w:ascii="宋体" w:hAnsi="宋体" w:eastAsia="宋体" w:cs="宋体"/>
                <w:bCs/>
                <w:color w:val="FF0000"/>
                <w:spacing w:val="6"/>
                <w:sz w:val="24"/>
              </w:rPr>
            </w:pPr>
            <w:r>
              <w:rPr>
                <w:rFonts w:hint="eastAsia" w:ascii="宋体" w:hAnsi="宋体" w:eastAsia="宋体" w:cs="宋体"/>
                <w:bCs/>
                <w:spacing w:val="6"/>
                <w:sz w:val="24"/>
              </w:rPr>
              <w:t>投标保证金</w:t>
            </w:r>
          </w:p>
        </w:tc>
        <w:tc>
          <w:tcPr>
            <w:tcW w:w="7078" w:type="dxa"/>
            <w:vAlign w:val="center"/>
          </w:tcPr>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1、投标保证金金额：</w:t>
            </w:r>
            <w:r>
              <w:rPr>
                <w:rFonts w:hint="eastAsia" w:ascii="宋体" w:hAnsi="宋体" w:eastAsia="宋体" w:cs="宋体"/>
                <w:bCs/>
                <w:spacing w:val="6"/>
                <w:sz w:val="24"/>
                <w:lang w:val="en-US" w:eastAsia="zh-CN"/>
              </w:rPr>
              <w:t>20000</w:t>
            </w:r>
            <w:r>
              <w:rPr>
                <w:rFonts w:hint="eastAsia" w:ascii="宋体" w:hAnsi="宋体" w:eastAsia="宋体" w:cs="宋体"/>
                <w:bCs/>
                <w:spacing w:val="6"/>
                <w:sz w:val="24"/>
              </w:rPr>
              <w:t>元。</w:t>
            </w:r>
          </w:p>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2、投标保证金递交形式：银行汇票/支票/银行转帐。</w:t>
            </w:r>
          </w:p>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3、投标保证金应在投标截止时间之前交纳至以下账户：</w:t>
            </w:r>
          </w:p>
          <w:p>
            <w:pPr>
              <w:spacing w:line="360" w:lineRule="auto"/>
              <w:jc w:val="left"/>
              <w:rPr>
                <w:rFonts w:hint="eastAsia" w:ascii="宋体" w:hAnsi="宋体" w:eastAsia="宋体" w:cs="宋体"/>
                <w:bCs/>
                <w:color w:val="000000" w:themeColor="text1"/>
                <w:spacing w:val="6"/>
                <w:sz w:val="24"/>
                <w14:textFill>
                  <w14:solidFill>
                    <w14:schemeClr w14:val="tx1"/>
                  </w14:solidFill>
                </w14:textFill>
              </w:rPr>
            </w:pPr>
            <w:r>
              <w:rPr>
                <w:rFonts w:hint="eastAsia" w:ascii="宋体" w:hAnsi="宋体" w:eastAsia="宋体" w:cs="宋体"/>
                <w:bCs/>
                <w:color w:val="000000" w:themeColor="text1"/>
                <w:spacing w:val="6"/>
                <w:sz w:val="24"/>
                <w14:textFill>
                  <w14:solidFill>
                    <w14:schemeClr w14:val="tx1"/>
                  </w14:solidFill>
                </w14:textFill>
              </w:rPr>
              <w:t>户名：济南建招工程咨询有限公司；</w:t>
            </w:r>
          </w:p>
          <w:p>
            <w:pPr>
              <w:spacing w:line="360" w:lineRule="auto"/>
              <w:jc w:val="left"/>
              <w:rPr>
                <w:rFonts w:hint="eastAsia" w:ascii="宋体" w:hAnsi="宋体" w:eastAsia="宋体" w:cs="宋体"/>
                <w:bCs/>
                <w:color w:val="000000" w:themeColor="text1"/>
                <w:spacing w:val="6"/>
                <w:sz w:val="24"/>
                <w14:textFill>
                  <w14:solidFill>
                    <w14:schemeClr w14:val="tx1"/>
                  </w14:solidFill>
                </w14:textFill>
              </w:rPr>
            </w:pPr>
            <w:r>
              <w:rPr>
                <w:rFonts w:hint="eastAsia" w:ascii="宋体" w:hAnsi="宋体" w:eastAsia="宋体" w:cs="宋体"/>
                <w:bCs/>
                <w:color w:val="000000" w:themeColor="text1"/>
                <w:spacing w:val="6"/>
                <w:sz w:val="24"/>
                <w14:textFill>
                  <w14:solidFill>
                    <w14:schemeClr w14:val="tx1"/>
                  </w14:solidFill>
                </w14:textFill>
              </w:rPr>
              <w:t>开户银行：平安银行济南万达支行；</w:t>
            </w:r>
          </w:p>
          <w:p>
            <w:pPr>
              <w:spacing w:line="360" w:lineRule="auto"/>
              <w:jc w:val="left"/>
              <w:rPr>
                <w:rFonts w:hint="eastAsia" w:ascii="宋体" w:hAnsi="宋体" w:eastAsia="宋体" w:cs="宋体"/>
                <w:bCs/>
                <w:color w:val="FF0000"/>
                <w:spacing w:val="6"/>
                <w:sz w:val="24"/>
              </w:rPr>
            </w:pPr>
            <w:r>
              <w:rPr>
                <w:rFonts w:hint="eastAsia" w:ascii="宋体" w:hAnsi="宋体" w:eastAsia="宋体" w:cs="宋体"/>
                <w:bCs/>
                <w:color w:val="000000" w:themeColor="text1"/>
                <w:spacing w:val="6"/>
                <w:sz w:val="24"/>
                <w14:textFill>
                  <w14:solidFill>
                    <w14:schemeClr w14:val="tx1"/>
                  </w14:solidFill>
                </w14:textFill>
              </w:rPr>
              <w:t xml:space="preserve">账号： </w:t>
            </w:r>
            <w:r>
              <w:rPr>
                <w:rFonts w:hint="eastAsia" w:ascii="宋体" w:hAnsi="宋体" w:eastAsia="宋体" w:cs="宋体"/>
                <w:sz w:val="24"/>
                <w:szCs w:val="24"/>
              </w:rPr>
              <w:t>30205360002462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15</w:t>
            </w:r>
          </w:p>
        </w:tc>
        <w:tc>
          <w:tcPr>
            <w:tcW w:w="2139" w:type="dxa"/>
            <w:vAlign w:val="center"/>
          </w:tcPr>
          <w:p>
            <w:pPr>
              <w:spacing w:line="400" w:lineRule="exact"/>
              <w:jc w:val="center"/>
              <w:rPr>
                <w:rFonts w:hint="eastAsia" w:ascii="宋体" w:hAnsi="宋体" w:eastAsia="宋体" w:cs="宋体"/>
                <w:bCs/>
                <w:spacing w:val="6"/>
                <w:sz w:val="24"/>
              </w:rPr>
            </w:pPr>
            <w:r>
              <w:rPr>
                <w:rFonts w:hint="eastAsia" w:ascii="宋体" w:hAnsi="宋体" w:eastAsia="宋体" w:cs="宋体"/>
                <w:sz w:val="24"/>
              </w:rPr>
              <w:t>签字和盖章要求</w:t>
            </w:r>
          </w:p>
        </w:tc>
        <w:tc>
          <w:tcPr>
            <w:tcW w:w="7078" w:type="dxa"/>
            <w:vAlign w:val="center"/>
          </w:tcPr>
          <w:p>
            <w:pPr>
              <w:spacing w:line="440" w:lineRule="exact"/>
              <w:rPr>
                <w:rFonts w:hint="eastAsia" w:ascii="宋体" w:hAnsi="宋体" w:eastAsia="宋体" w:cs="宋体"/>
                <w:bCs/>
                <w:color w:val="000000" w:themeColor="text1"/>
                <w:spacing w:val="6"/>
                <w:sz w:val="24"/>
                <w14:textFill>
                  <w14:solidFill>
                    <w14:schemeClr w14:val="tx1"/>
                  </w14:solidFill>
                </w14:textFill>
              </w:rPr>
            </w:pPr>
            <w:r>
              <w:rPr>
                <w:rFonts w:hint="eastAsia" w:ascii="宋体" w:hAnsi="宋体" w:eastAsia="宋体" w:cs="宋体"/>
                <w:sz w:val="24"/>
              </w:rPr>
              <w:t>投标文件封面、投标函、授权委托书均应加盖投标企业印章并经负责人或其委托代理人签字或盖章。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16</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投标文件副本份数</w:t>
            </w:r>
          </w:p>
        </w:tc>
        <w:tc>
          <w:tcPr>
            <w:tcW w:w="7078" w:type="dxa"/>
            <w:vAlign w:val="center"/>
          </w:tcPr>
          <w:p>
            <w:pPr>
              <w:spacing w:line="360" w:lineRule="auto"/>
              <w:jc w:val="left"/>
              <w:rPr>
                <w:rFonts w:hint="eastAsia" w:ascii="宋体" w:hAnsi="宋体" w:eastAsia="宋体" w:cs="宋体"/>
                <w:bCs/>
                <w:spacing w:val="6"/>
                <w:sz w:val="24"/>
              </w:rPr>
            </w:pPr>
            <w:r>
              <w:rPr>
                <w:rFonts w:hint="eastAsia" w:ascii="宋体" w:hAnsi="宋体" w:eastAsia="宋体" w:cs="宋体"/>
                <w:sz w:val="24"/>
              </w:rPr>
              <w:t>投标文件一式伍份，其中正本壹份，副本肆份，电子版一份（U盘）。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17</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递交投标文件截止时间及地点</w:t>
            </w:r>
          </w:p>
        </w:tc>
        <w:tc>
          <w:tcPr>
            <w:tcW w:w="7078" w:type="dxa"/>
            <w:vAlign w:val="center"/>
          </w:tcPr>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时间：2023年</w:t>
            </w:r>
            <w:r>
              <w:rPr>
                <w:rFonts w:hint="eastAsia" w:ascii="宋体" w:hAnsi="宋体" w:eastAsia="宋体" w:cs="宋体"/>
                <w:bCs/>
                <w:spacing w:val="6"/>
                <w:sz w:val="24"/>
                <w:lang w:val="en-US" w:eastAsia="zh-CN"/>
              </w:rPr>
              <w:t>12</w:t>
            </w:r>
            <w:r>
              <w:rPr>
                <w:rFonts w:hint="eastAsia" w:ascii="宋体" w:hAnsi="宋体" w:eastAsia="宋体" w:cs="宋体"/>
                <w:bCs/>
                <w:spacing w:val="6"/>
                <w:sz w:val="24"/>
              </w:rPr>
              <w:t>月</w:t>
            </w:r>
            <w:r>
              <w:rPr>
                <w:rFonts w:hint="eastAsia" w:ascii="宋体" w:hAnsi="宋体" w:eastAsia="宋体" w:cs="宋体"/>
                <w:bCs/>
                <w:spacing w:val="6"/>
                <w:sz w:val="24"/>
                <w:lang w:val="en-US" w:eastAsia="zh-CN"/>
              </w:rPr>
              <w:t>4</w:t>
            </w:r>
            <w:r>
              <w:rPr>
                <w:rFonts w:hint="eastAsia" w:ascii="宋体" w:hAnsi="宋体" w:eastAsia="宋体" w:cs="宋体"/>
                <w:bCs/>
                <w:spacing w:val="6"/>
                <w:sz w:val="24"/>
              </w:rPr>
              <w:t>日14时00分（北京时间）</w:t>
            </w:r>
          </w:p>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地点：济南市高新区三庆齐盛广场1号楼1404楼会议室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18</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开标时间</w:t>
            </w:r>
          </w:p>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和地点</w:t>
            </w:r>
          </w:p>
        </w:tc>
        <w:tc>
          <w:tcPr>
            <w:tcW w:w="7078" w:type="dxa"/>
            <w:vAlign w:val="center"/>
          </w:tcPr>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时间：2023年</w:t>
            </w:r>
            <w:r>
              <w:rPr>
                <w:rFonts w:hint="eastAsia" w:ascii="宋体" w:hAnsi="宋体" w:eastAsia="宋体" w:cs="宋体"/>
                <w:bCs/>
                <w:spacing w:val="6"/>
                <w:sz w:val="24"/>
                <w:lang w:val="en-US" w:eastAsia="zh-CN"/>
              </w:rPr>
              <w:t>12</w:t>
            </w:r>
            <w:r>
              <w:rPr>
                <w:rFonts w:hint="eastAsia" w:ascii="宋体" w:hAnsi="宋体" w:eastAsia="宋体" w:cs="宋体"/>
                <w:bCs/>
                <w:spacing w:val="6"/>
                <w:sz w:val="24"/>
              </w:rPr>
              <w:t>月</w:t>
            </w:r>
            <w:r>
              <w:rPr>
                <w:rFonts w:hint="eastAsia" w:ascii="宋体" w:hAnsi="宋体" w:eastAsia="宋体" w:cs="宋体"/>
                <w:bCs/>
                <w:spacing w:val="6"/>
                <w:sz w:val="24"/>
                <w:lang w:val="en-US" w:eastAsia="zh-CN"/>
              </w:rPr>
              <w:t>4</w:t>
            </w:r>
            <w:r>
              <w:rPr>
                <w:rFonts w:hint="eastAsia" w:ascii="宋体" w:hAnsi="宋体" w:eastAsia="宋体" w:cs="宋体"/>
                <w:bCs/>
                <w:spacing w:val="6"/>
                <w:sz w:val="24"/>
              </w:rPr>
              <w:t>日14时00分（北京时间）</w:t>
            </w:r>
          </w:p>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地点：济南市高新区三庆齐盛广场1号楼1404楼会议室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19</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开标程序</w:t>
            </w:r>
          </w:p>
        </w:tc>
        <w:tc>
          <w:tcPr>
            <w:tcW w:w="7078" w:type="dxa"/>
            <w:vAlign w:val="center"/>
          </w:tcPr>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20</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评标委员会的</w:t>
            </w:r>
          </w:p>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组建</w:t>
            </w:r>
          </w:p>
        </w:tc>
        <w:tc>
          <w:tcPr>
            <w:tcW w:w="7078" w:type="dxa"/>
            <w:vAlign w:val="center"/>
          </w:tcPr>
          <w:p>
            <w:pPr>
              <w:spacing w:line="360" w:lineRule="auto"/>
              <w:rPr>
                <w:rFonts w:hint="eastAsia" w:ascii="宋体" w:hAnsi="宋体" w:eastAsia="宋体" w:cs="宋体"/>
                <w:bCs/>
                <w:spacing w:val="6"/>
                <w:sz w:val="24"/>
              </w:rPr>
            </w:pPr>
            <w:r>
              <w:rPr>
                <w:rFonts w:hint="eastAsia" w:ascii="宋体" w:hAnsi="宋体" w:eastAsia="宋体" w:cs="宋体"/>
                <w:bCs/>
                <w:spacing w:val="6"/>
                <w:sz w:val="24"/>
              </w:rPr>
              <w:t>评标委员会由招标单位组建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21</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是否授权评标委员会确定中标企业</w:t>
            </w:r>
          </w:p>
        </w:tc>
        <w:tc>
          <w:tcPr>
            <w:tcW w:w="7078" w:type="dxa"/>
            <w:vAlign w:val="center"/>
          </w:tcPr>
          <w:p>
            <w:pPr>
              <w:spacing w:line="360" w:lineRule="auto"/>
              <w:jc w:val="left"/>
              <w:rPr>
                <w:rFonts w:hint="eastAsia" w:ascii="宋体" w:hAnsi="宋体" w:eastAsia="宋体" w:cs="宋体"/>
                <w:bCs/>
                <w:spacing w:val="6"/>
                <w:sz w:val="24"/>
              </w:rPr>
            </w:pPr>
            <w:r>
              <w:rPr>
                <w:rFonts w:hint="eastAsia" w:ascii="宋体" w:hAnsi="宋体" w:eastAsia="宋体" w:cs="宋体"/>
                <w:bCs/>
                <w:spacing w:val="6"/>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22</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评审方法</w:t>
            </w:r>
          </w:p>
        </w:tc>
        <w:tc>
          <w:tcPr>
            <w:tcW w:w="7078" w:type="dxa"/>
            <w:vAlign w:val="center"/>
          </w:tcPr>
          <w:p>
            <w:pPr>
              <w:spacing w:line="360" w:lineRule="auto"/>
              <w:jc w:val="left"/>
              <w:rPr>
                <w:rFonts w:hint="eastAsia" w:ascii="宋体" w:hAnsi="宋体" w:eastAsia="宋体" w:cs="宋体"/>
                <w:bCs/>
                <w:color w:val="FF0000"/>
                <w:spacing w:val="6"/>
                <w:sz w:val="24"/>
              </w:rPr>
            </w:pPr>
            <w:r>
              <w:rPr>
                <w:rFonts w:hint="eastAsia" w:ascii="宋体" w:hAnsi="宋体" w:eastAsia="宋体" w:cs="宋体"/>
                <w:bCs/>
                <w:color w:val="auto"/>
                <w:sz w:val="24"/>
              </w:rPr>
              <w:t>综合评分法（百分制）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23</w:t>
            </w:r>
          </w:p>
        </w:tc>
        <w:tc>
          <w:tcPr>
            <w:tcW w:w="2139" w:type="dxa"/>
            <w:vAlign w:val="center"/>
          </w:tcPr>
          <w:p>
            <w:pPr>
              <w:spacing w:line="360" w:lineRule="auto"/>
              <w:jc w:val="center"/>
              <w:rPr>
                <w:rFonts w:hint="eastAsia" w:ascii="宋体" w:hAnsi="宋体" w:eastAsia="宋体" w:cs="宋体"/>
                <w:bCs/>
                <w:color w:val="auto"/>
                <w:spacing w:val="6"/>
                <w:sz w:val="24"/>
              </w:rPr>
            </w:pPr>
            <w:r>
              <w:rPr>
                <w:rFonts w:hint="eastAsia" w:ascii="宋体" w:hAnsi="宋体" w:eastAsia="宋体" w:cs="宋体"/>
                <w:color w:val="auto"/>
                <w:sz w:val="24"/>
              </w:rPr>
              <w:t>付款时间及方式</w:t>
            </w:r>
          </w:p>
        </w:tc>
        <w:tc>
          <w:tcPr>
            <w:tcW w:w="7078" w:type="dxa"/>
            <w:vAlign w:val="center"/>
          </w:tcPr>
          <w:p>
            <w:pPr>
              <w:spacing w:line="360" w:lineRule="auto"/>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按月度付款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24</w:t>
            </w:r>
          </w:p>
        </w:tc>
        <w:tc>
          <w:tcPr>
            <w:tcW w:w="2139" w:type="dxa"/>
            <w:vAlign w:val="center"/>
          </w:tcPr>
          <w:p>
            <w:pPr>
              <w:spacing w:line="360" w:lineRule="auto"/>
              <w:jc w:val="center"/>
              <w:rPr>
                <w:rFonts w:hint="eastAsia" w:ascii="宋体" w:hAnsi="宋体" w:eastAsia="宋体" w:cs="宋体"/>
                <w:bCs/>
                <w:spacing w:val="6"/>
                <w:sz w:val="24"/>
              </w:rPr>
            </w:pPr>
            <w:r>
              <w:rPr>
                <w:rFonts w:hint="eastAsia" w:ascii="宋体" w:hAnsi="宋体" w:eastAsia="宋体" w:cs="宋体"/>
                <w:bCs/>
                <w:spacing w:val="6"/>
                <w:sz w:val="24"/>
              </w:rPr>
              <w:t>报价</w:t>
            </w:r>
          </w:p>
        </w:tc>
        <w:tc>
          <w:tcPr>
            <w:tcW w:w="7078" w:type="dxa"/>
            <w:vAlign w:val="center"/>
          </w:tcPr>
          <w:p>
            <w:pPr>
              <w:spacing w:line="360" w:lineRule="auto"/>
              <w:jc w:val="left"/>
              <w:rPr>
                <w:rFonts w:hint="eastAsia" w:ascii="宋体" w:hAnsi="宋体" w:eastAsia="宋体" w:cs="宋体"/>
                <w:bCs/>
                <w:color w:val="000000"/>
                <w:sz w:val="24"/>
              </w:rPr>
            </w:pPr>
            <w:r>
              <w:rPr>
                <w:rFonts w:hint="eastAsia" w:ascii="宋体" w:hAnsi="宋体" w:eastAsia="宋体" w:cs="宋体"/>
                <w:bCs/>
                <w:color w:val="000000"/>
                <w:sz w:val="24"/>
              </w:rPr>
              <w:t>一次性报价。</w:t>
            </w:r>
          </w:p>
        </w:tc>
      </w:tr>
    </w:tbl>
    <w:p>
      <w:pPr>
        <w:pStyle w:val="12"/>
        <w:numPr>
          <w:ilvl w:val="0"/>
          <w:numId w:val="1"/>
        </w:numPr>
        <w:spacing w:line="360" w:lineRule="auto"/>
        <w:ind w:left="92" w:leftChars="0" w:hanging="92" w:hangingChars="35"/>
        <w:outlineLvl w:val="0"/>
        <w:rPr>
          <w:rFonts w:hint="eastAsia" w:ascii="宋体" w:hAnsi="宋体" w:eastAsia="宋体" w:cs="宋体"/>
          <w:bCs/>
          <w:sz w:val="28"/>
        </w:rPr>
      </w:pPr>
      <w:bookmarkStart w:id="10" w:name="_Toc15691"/>
      <w:bookmarkStart w:id="11" w:name="_Toc25880"/>
      <w:r>
        <w:rPr>
          <w:rFonts w:hint="eastAsia" w:ascii="宋体" w:hAnsi="宋体" w:eastAsia="宋体" w:cs="宋体"/>
          <w:bCs/>
          <w:sz w:val="28"/>
        </w:rPr>
        <w:br w:type="page"/>
      </w:r>
    </w:p>
    <w:p>
      <w:pPr>
        <w:pStyle w:val="12"/>
        <w:spacing w:line="360" w:lineRule="auto"/>
        <w:ind w:left="0" w:leftChars="0" w:firstLine="522" w:firstLineChars="200"/>
        <w:outlineLvl w:val="0"/>
        <w:rPr>
          <w:rFonts w:hint="eastAsia" w:ascii="宋体" w:hAnsi="宋体" w:eastAsia="宋体" w:cs="宋体"/>
          <w:bCs/>
          <w:sz w:val="28"/>
        </w:rPr>
      </w:pPr>
      <w:r>
        <w:rPr>
          <w:rFonts w:hint="eastAsia" w:ascii="宋体" w:hAnsi="宋体" w:eastAsia="宋体" w:cs="宋体"/>
          <w:bCs/>
          <w:sz w:val="28"/>
        </w:rPr>
        <w:t>一、说明</w:t>
      </w:r>
      <w:bookmarkEnd w:id="10"/>
      <w:bookmarkEnd w:id="11"/>
    </w:p>
    <w:p>
      <w:pPr>
        <w:pStyle w:val="12"/>
        <w:spacing w:line="360" w:lineRule="auto"/>
        <w:ind w:left="0" w:leftChars="0" w:firstLine="442" w:firstLineChars="200"/>
        <w:outlineLvl w:val="0"/>
        <w:rPr>
          <w:rFonts w:hint="eastAsia" w:ascii="宋体" w:hAnsi="宋体" w:eastAsia="宋体" w:cs="宋体"/>
          <w:bCs/>
          <w:sz w:val="24"/>
        </w:rPr>
      </w:pPr>
      <w:bookmarkStart w:id="12" w:name="_Toc14986"/>
      <w:bookmarkStart w:id="13" w:name="_Toc574"/>
      <w:bookmarkStart w:id="14" w:name="_Toc5803"/>
      <w:bookmarkStart w:id="15" w:name="_Toc32162"/>
      <w:r>
        <w:rPr>
          <w:rFonts w:hint="eastAsia" w:ascii="宋体" w:hAnsi="宋体" w:eastAsia="宋体" w:cs="宋体"/>
          <w:bCs/>
          <w:sz w:val="24"/>
        </w:rPr>
        <w:t>本次采购工作是按照《中华人民共和国招标投标法》等相关法律、组织和实施，并由济南轻骑标致摩托车有限公司相关部门指导和监督。</w:t>
      </w:r>
    </w:p>
    <w:p>
      <w:pPr>
        <w:pStyle w:val="12"/>
        <w:spacing w:line="360" w:lineRule="auto"/>
        <w:ind w:left="0" w:leftChars="0" w:firstLine="442" w:firstLineChars="200"/>
        <w:outlineLvl w:val="0"/>
        <w:rPr>
          <w:rFonts w:hint="eastAsia" w:ascii="宋体" w:hAnsi="宋体" w:eastAsia="宋体" w:cs="宋体"/>
          <w:bCs/>
          <w:sz w:val="24"/>
        </w:rPr>
      </w:pPr>
      <w:r>
        <w:rPr>
          <w:rFonts w:hint="eastAsia" w:ascii="宋体" w:hAnsi="宋体" w:eastAsia="宋体" w:cs="宋体"/>
          <w:bCs/>
          <w:sz w:val="24"/>
        </w:rPr>
        <w:t xml:space="preserve">1.  </w:t>
      </w:r>
      <w:bookmarkEnd w:id="12"/>
      <w:bookmarkEnd w:id="13"/>
      <w:r>
        <w:rPr>
          <w:rFonts w:hint="eastAsia" w:ascii="宋体" w:hAnsi="宋体" w:eastAsia="宋体" w:cs="宋体"/>
          <w:bCs/>
          <w:sz w:val="24"/>
        </w:rPr>
        <w:t>招标单位</w:t>
      </w:r>
      <w:bookmarkEnd w:id="14"/>
      <w:bookmarkEnd w:id="15"/>
    </w:p>
    <w:p>
      <w:pPr>
        <w:pStyle w:val="5"/>
        <w:tabs>
          <w:tab w:val="left" w:pos="1146"/>
        </w:tabs>
        <w:spacing w:line="360" w:lineRule="auto"/>
        <w:ind w:left="0" w:leftChars="0" w:firstLine="442" w:firstLineChars="200"/>
        <w:rPr>
          <w:rFonts w:hint="eastAsia" w:ascii="宋体" w:hAnsi="宋体" w:eastAsia="宋体" w:cs="宋体"/>
          <w:bCs/>
          <w:sz w:val="24"/>
          <w:u w:val="single"/>
        </w:rPr>
      </w:pPr>
      <w:r>
        <w:rPr>
          <w:rFonts w:hint="eastAsia" w:ascii="宋体" w:hAnsi="宋体" w:eastAsia="宋体" w:cs="宋体"/>
          <w:bCs/>
          <w:sz w:val="24"/>
        </w:rPr>
        <w:t>系指</w:t>
      </w:r>
      <w:r>
        <w:rPr>
          <w:rFonts w:hint="eastAsia" w:ascii="宋体" w:hAnsi="宋体" w:eastAsia="宋体" w:cs="宋体"/>
          <w:bCs/>
          <w:sz w:val="24"/>
          <w:u w:val="single"/>
        </w:rPr>
        <w:t>济南轻骑标致摩托车有限公司</w:t>
      </w:r>
    </w:p>
    <w:p>
      <w:pPr>
        <w:pStyle w:val="12"/>
        <w:spacing w:line="360" w:lineRule="auto"/>
        <w:ind w:left="0" w:leftChars="0" w:firstLine="442" w:firstLineChars="200"/>
        <w:outlineLvl w:val="0"/>
        <w:rPr>
          <w:rFonts w:hint="eastAsia" w:ascii="宋体" w:hAnsi="宋体" w:eastAsia="宋体" w:cs="宋体"/>
          <w:bCs/>
          <w:sz w:val="24"/>
        </w:rPr>
      </w:pPr>
      <w:bookmarkStart w:id="16" w:name="_Toc27525"/>
      <w:bookmarkStart w:id="17" w:name="_Toc1859"/>
      <w:bookmarkStart w:id="18" w:name="_Toc3239"/>
      <w:bookmarkStart w:id="19" w:name="_Toc17018"/>
      <w:r>
        <w:rPr>
          <w:rFonts w:hint="eastAsia" w:ascii="宋体" w:hAnsi="宋体" w:eastAsia="宋体" w:cs="宋体"/>
          <w:bCs/>
          <w:sz w:val="24"/>
        </w:rPr>
        <w:t>2.  招标代理机构</w:t>
      </w:r>
      <w:bookmarkEnd w:id="16"/>
      <w:bookmarkEnd w:id="17"/>
      <w:bookmarkEnd w:id="18"/>
      <w:bookmarkEnd w:id="19"/>
    </w:p>
    <w:p>
      <w:pPr>
        <w:pStyle w:val="12"/>
        <w:spacing w:line="360" w:lineRule="auto"/>
        <w:ind w:left="0" w:leftChars="0" w:firstLine="442" w:firstLineChars="200"/>
        <w:outlineLvl w:val="0"/>
        <w:rPr>
          <w:rFonts w:hint="eastAsia" w:ascii="宋体" w:hAnsi="宋体" w:eastAsia="宋体" w:cs="宋体"/>
          <w:bCs/>
          <w:sz w:val="24"/>
          <w:u w:val="single"/>
        </w:rPr>
      </w:pPr>
      <w:bookmarkStart w:id="20" w:name="_Toc32035"/>
      <w:bookmarkStart w:id="21" w:name="_Toc13574"/>
      <w:bookmarkStart w:id="22" w:name="_Toc20976"/>
      <w:bookmarkStart w:id="23" w:name="_Toc6544"/>
      <w:r>
        <w:rPr>
          <w:rFonts w:hint="eastAsia" w:ascii="宋体" w:hAnsi="宋体" w:eastAsia="宋体" w:cs="宋体"/>
          <w:bCs/>
          <w:sz w:val="24"/>
        </w:rPr>
        <w:t>系指</w:t>
      </w:r>
      <w:bookmarkEnd w:id="20"/>
      <w:bookmarkEnd w:id="21"/>
      <w:bookmarkEnd w:id="22"/>
      <w:bookmarkEnd w:id="23"/>
      <w:r>
        <w:rPr>
          <w:rFonts w:hint="eastAsia" w:ascii="宋体" w:hAnsi="宋体" w:eastAsia="宋体" w:cs="宋体"/>
          <w:bCs/>
          <w:sz w:val="24"/>
          <w:u w:val="single"/>
        </w:rPr>
        <w:t>济南建招工程咨询有限公司</w:t>
      </w:r>
    </w:p>
    <w:p>
      <w:pPr>
        <w:pStyle w:val="12"/>
        <w:spacing w:line="360" w:lineRule="auto"/>
        <w:ind w:left="0" w:leftChars="0" w:firstLine="442" w:firstLineChars="200"/>
        <w:outlineLvl w:val="0"/>
        <w:rPr>
          <w:rFonts w:hint="eastAsia" w:ascii="宋体" w:hAnsi="宋体" w:eastAsia="宋体" w:cs="宋体"/>
          <w:bCs/>
          <w:sz w:val="24"/>
        </w:rPr>
      </w:pPr>
      <w:bookmarkStart w:id="24" w:name="_Toc16573"/>
      <w:bookmarkStart w:id="25" w:name="_Toc21582"/>
      <w:bookmarkStart w:id="26" w:name="_Toc12795"/>
      <w:bookmarkStart w:id="27" w:name="_Toc1708"/>
      <w:r>
        <w:rPr>
          <w:rFonts w:hint="eastAsia" w:ascii="宋体" w:hAnsi="宋体" w:eastAsia="宋体" w:cs="宋体"/>
          <w:bCs/>
          <w:sz w:val="24"/>
        </w:rPr>
        <w:t>3.  合格</w:t>
      </w:r>
      <w:bookmarkEnd w:id="24"/>
      <w:r>
        <w:rPr>
          <w:rFonts w:hint="eastAsia" w:ascii="宋体" w:hAnsi="宋体" w:eastAsia="宋体" w:cs="宋体"/>
          <w:bCs/>
          <w:sz w:val="24"/>
        </w:rPr>
        <w:t>投标企业</w:t>
      </w:r>
      <w:bookmarkEnd w:id="25"/>
      <w:r>
        <w:rPr>
          <w:rFonts w:hint="eastAsia" w:ascii="宋体" w:hAnsi="宋体" w:eastAsia="宋体" w:cs="宋体"/>
          <w:bCs/>
          <w:sz w:val="24"/>
        </w:rPr>
        <w:t>：详见前附表资格要求。</w:t>
      </w:r>
      <w:bookmarkEnd w:id="26"/>
      <w:bookmarkEnd w:id="27"/>
    </w:p>
    <w:p>
      <w:pPr>
        <w:pStyle w:val="12"/>
        <w:spacing w:line="360" w:lineRule="auto"/>
        <w:ind w:left="0" w:leftChars="0" w:firstLine="442" w:firstLineChars="200"/>
        <w:outlineLvl w:val="0"/>
        <w:rPr>
          <w:rFonts w:hint="eastAsia" w:ascii="宋体" w:hAnsi="宋体" w:eastAsia="宋体" w:cs="宋体"/>
          <w:bCs/>
          <w:sz w:val="24"/>
        </w:rPr>
      </w:pPr>
      <w:bookmarkStart w:id="28" w:name="_Toc22336"/>
      <w:bookmarkStart w:id="29" w:name="_Toc13796"/>
      <w:bookmarkStart w:id="30" w:name="_Toc8833"/>
      <w:bookmarkStart w:id="31" w:name="_Toc31075"/>
      <w:r>
        <w:rPr>
          <w:rFonts w:hint="eastAsia" w:ascii="宋体" w:hAnsi="宋体" w:eastAsia="宋体" w:cs="宋体"/>
          <w:bCs/>
          <w:sz w:val="24"/>
        </w:rPr>
        <w:t>4  服务定义</w:t>
      </w:r>
      <w:bookmarkEnd w:id="28"/>
      <w:bookmarkEnd w:id="29"/>
      <w:bookmarkEnd w:id="30"/>
      <w:bookmarkEnd w:id="31"/>
    </w:p>
    <w:p>
      <w:pPr>
        <w:pStyle w:val="12"/>
        <w:spacing w:line="360" w:lineRule="auto"/>
        <w:ind w:left="0" w:leftChars="0" w:firstLine="442" w:firstLineChars="200"/>
        <w:outlineLvl w:val="0"/>
        <w:rPr>
          <w:rFonts w:hint="eastAsia" w:ascii="宋体" w:hAnsi="宋体" w:eastAsia="宋体" w:cs="宋体"/>
          <w:bCs/>
          <w:sz w:val="24"/>
          <w:u w:val="single"/>
        </w:rPr>
      </w:pPr>
      <w:bookmarkStart w:id="32" w:name="_Toc24861"/>
      <w:bookmarkStart w:id="33" w:name="_Toc2426"/>
      <w:bookmarkStart w:id="34" w:name="_Toc25665"/>
      <w:bookmarkStart w:id="35" w:name="_Toc7980"/>
      <w:r>
        <w:rPr>
          <w:rFonts w:hint="eastAsia" w:ascii="宋体" w:hAnsi="宋体" w:eastAsia="宋体" w:cs="宋体"/>
          <w:bCs/>
          <w:sz w:val="24"/>
        </w:rPr>
        <w:t xml:space="preserve">4.1 </w:t>
      </w:r>
      <w:r>
        <w:rPr>
          <w:rFonts w:hint="eastAsia" w:ascii="宋体" w:hAnsi="宋体" w:eastAsia="宋体" w:cs="宋体"/>
          <w:bCs/>
          <w:sz w:val="24"/>
          <w:u w:val="single"/>
        </w:rPr>
        <w:t>“采购服务”指本招标文件中所述的相关服务。</w:t>
      </w:r>
      <w:bookmarkEnd w:id="32"/>
      <w:bookmarkEnd w:id="33"/>
      <w:bookmarkEnd w:id="34"/>
      <w:bookmarkEnd w:id="35"/>
    </w:p>
    <w:p>
      <w:pPr>
        <w:pStyle w:val="12"/>
        <w:spacing w:line="360" w:lineRule="auto"/>
        <w:ind w:left="0" w:leftChars="0" w:firstLine="442" w:firstLineChars="200"/>
        <w:outlineLvl w:val="0"/>
        <w:rPr>
          <w:rFonts w:hint="eastAsia" w:ascii="宋体" w:hAnsi="宋体" w:eastAsia="宋体" w:cs="宋体"/>
          <w:bCs/>
          <w:sz w:val="24"/>
        </w:rPr>
      </w:pPr>
      <w:bookmarkStart w:id="36" w:name="_Toc32462"/>
      <w:bookmarkStart w:id="37" w:name="_Toc9653"/>
      <w:bookmarkStart w:id="38" w:name="_Toc25284"/>
      <w:bookmarkStart w:id="39" w:name="_Toc7265"/>
      <w:r>
        <w:rPr>
          <w:rFonts w:hint="eastAsia" w:ascii="宋体" w:hAnsi="宋体" w:eastAsia="宋体" w:cs="宋体"/>
          <w:bCs/>
          <w:sz w:val="24"/>
        </w:rPr>
        <w:t>5.  报价费用</w:t>
      </w:r>
      <w:bookmarkEnd w:id="36"/>
      <w:bookmarkEnd w:id="37"/>
      <w:bookmarkEnd w:id="38"/>
      <w:bookmarkEnd w:id="39"/>
    </w:p>
    <w:p>
      <w:pPr>
        <w:pStyle w:val="12"/>
        <w:spacing w:line="360" w:lineRule="auto"/>
        <w:ind w:left="0" w:leftChars="0" w:firstLine="442" w:firstLineChars="200"/>
        <w:outlineLvl w:val="0"/>
        <w:rPr>
          <w:rFonts w:hint="eastAsia" w:ascii="宋体" w:hAnsi="宋体" w:eastAsia="宋体" w:cs="宋体"/>
          <w:bCs/>
          <w:sz w:val="24"/>
        </w:rPr>
      </w:pPr>
      <w:bookmarkStart w:id="40" w:name="_Toc25833"/>
      <w:bookmarkStart w:id="41" w:name="_Toc10416"/>
      <w:bookmarkStart w:id="42" w:name="_Toc20143"/>
      <w:bookmarkStart w:id="43" w:name="_Toc31720"/>
      <w:r>
        <w:rPr>
          <w:rFonts w:hint="eastAsia" w:ascii="宋体" w:hAnsi="宋体" w:eastAsia="宋体" w:cs="宋体"/>
          <w:bCs/>
          <w:sz w:val="24"/>
        </w:rPr>
        <w:t>5.1无论报价过程中的方法和结果如何，投标企业自行承担所有与参加报价有关的费用。</w:t>
      </w:r>
      <w:bookmarkEnd w:id="40"/>
      <w:bookmarkEnd w:id="41"/>
      <w:bookmarkEnd w:id="42"/>
      <w:bookmarkEnd w:id="43"/>
    </w:p>
    <w:p>
      <w:pPr>
        <w:pStyle w:val="12"/>
        <w:spacing w:line="360" w:lineRule="auto"/>
        <w:ind w:left="0" w:leftChars="0" w:firstLine="442" w:firstLineChars="200"/>
        <w:outlineLvl w:val="0"/>
        <w:rPr>
          <w:rFonts w:hint="eastAsia" w:ascii="宋体" w:hAnsi="宋体" w:eastAsia="宋体" w:cs="宋体"/>
          <w:bCs/>
          <w:sz w:val="24"/>
        </w:rPr>
      </w:pPr>
      <w:bookmarkStart w:id="44" w:name="_Toc29900"/>
      <w:bookmarkStart w:id="45" w:name="_Toc4572"/>
      <w:bookmarkStart w:id="46" w:name="_Toc11797"/>
      <w:r>
        <w:rPr>
          <w:rFonts w:hint="eastAsia" w:ascii="宋体" w:hAnsi="宋体" w:eastAsia="宋体" w:cs="宋体"/>
          <w:bCs/>
          <w:sz w:val="24"/>
        </w:rPr>
        <w:t>5.2代理</w:t>
      </w:r>
      <w:bookmarkStart w:id="517" w:name="_GoBack"/>
      <w:r>
        <w:rPr>
          <w:rFonts w:hint="eastAsia" w:ascii="宋体" w:hAnsi="宋体" w:eastAsia="宋体" w:cs="宋体"/>
          <w:bCs/>
          <w:sz w:val="24"/>
        </w:rPr>
        <w:t>服务费</w:t>
      </w:r>
      <w:bookmarkEnd w:id="517"/>
      <w:r>
        <w:rPr>
          <w:rFonts w:hint="eastAsia" w:ascii="宋体" w:hAnsi="宋体" w:eastAsia="宋体" w:cs="宋体"/>
          <w:bCs/>
          <w:sz w:val="24"/>
        </w:rPr>
        <w:t>：</w:t>
      </w:r>
      <w:bookmarkEnd w:id="44"/>
      <w:bookmarkEnd w:id="45"/>
      <w:bookmarkEnd w:id="46"/>
      <w:bookmarkStart w:id="47" w:name="_Toc16427"/>
      <w:bookmarkStart w:id="48" w:name="_Toc16629"/>
      <w:r>
        <w:rPr>
          <w:rFonts w:hint="eastAsia" w:ascii="宋体" w:hAnsi="宋体" w:eastAsia="宋体" w:cs="宋体"/>
          <w:bCs/>
          <w:sz w:val="24"/>
          <w:lang w:val="en-US" w:eastAsia="zh-CN"/>
        </w:rPr>
        <w:t>本项目代理服务费按照国家计委计价格[2002]1980号文货物类收费标准执行，按差额定率累进法计算收取代理服务费</w:t>
      </w:r>
      <w:r>
        <w:rPr>
          <w:rFonts w:hint="eastAsia" w:ascii="宋体" w:hAnsi="宋体" w:eastAsia="宋体" w:cs="宋体"/>
          <w:bCs/>
          <w:sz w:val="24"/>
        </w:rPr>
        <w:t>，由中标人承担。</w:t>
      </w:r>
    </w:p>
    <w:p>
      <w:pPr>
        <w:pStyle w:val="12"/>
        <w:spacing w:line="360" w:lineRule="auto"/>
        <w:ind w:left="0" w:leftChars="0" w:firstLine="522" w:firstLineChars="200"/>
        <w:outlineLvl w:val="0"/>
        <w:rPr>
          <w:rFonts w:hint="eastAsia" w:ascii="宋体" w:hAnsi="宋体" w:eastAsia="宋体" w:cs="宋体"/>
          <w:bCs/>
          <w:sz w:val="28"/>
        </w:rPr>
      </w:pPr>
      <w:bookmarkStart w:id="49" w:name="_Toc17221"/>
      <w:bookmarkStart w:id="50" w:name="_Toc15202"/>
      <w:r>
        <w:rPr>
          <w:rFonts w:hint="eastAsia" w:ascii="宋体" w:hAnsi="宋体" w:eastAsia="宋体" w:cs="宋体"/>
          <w:bCs/>
          <w:sz w:val="28"/>
        </w:rPr>
        <w:t>二、</w:t>
      </w:r>
      <w:bookmarkEnd w:id="47"/>
      <w:r>
        <w:rPr>
          <w:rFonts w:hint="eastAsia" w:ascii="宋体" w:hAnsi="宋体" w:eastAsia="宋体" w:cs="宋体"/>
          <w:bCs/>
          <w:sz w:val="28"/>
        </w:rPr>
        <w:t>招标文件</w:t>
      </w:r>
      <w:bookmarkEnd w:id="48"/>
      <w:bookmarkEnd w:id="49"/>
      <w:bookmarkEnd w:id="50"/>
    </w:p>
    <w:p>
      <w:pPr>
        <w:pStyle w:val="12"/>
        <w:spacing w:line="360" w:lineRule="auto"/>
        <w:ind w:left="0" w:leftChars="0" w:firstLine="442" w:firstLineChars="200"/>
        <w:outlineLvl w:val="0"/>
        <w:rPr>
          <w:rFonts w:hint="eastAsia" w:ascii="宋体" w:hAnsi="宋体" w:eastAsia="宋体" w:cs="宋体"/>
          <w:bCs/>
          <w:sz w:val="24"/>
        </w:rPr>
      </w:pPr>
      <w:bookmarkStart w:id="51" w:name="_Toc28928"/>
      <w:bookmarkStart w:id="52" w:name="_Toc11469"/>
      <w:bookmarkStart w:id="53" w:name="_Toc18443"/>
      <w:bookmarkStart w:id="54" w:name="_Toc28081"/>
      <w:r>
        <w:rPr>
          <w:rFonts w:hint="eastAsia" w:ascii="宋体" w:hAnsi="宋体" w:eastAsia="宋体" w:cs="宋体"/>
          <w:bCs/>
          <w:sz w:val="24"/>
        </w:rPr>
        <w:t>6.  招标文件构成</w:t>
      </w:r>
      <w:bookmarkEnd w:id="51"/>
      <w:bookmarkEnd w:id="52"/>
      <w:bookmarkEnd w:id="53"/>
      <w:bookmarkEnd w:id="54"/>
    </w:p>
    <w:p>
      <w:pPr>
        <w:pStyle w:val="12"/>
        <w:spacing w:line="360" w:lineRule="auto"/>
        <w:ind w:left="0" w:leftChars="0" w:firstLine="442" w:firstLineChars="200"/>
        <w:outlineLvl w:val="0"/>
        <w:rPr>
          <w:rFonts w:hint="eastAsia" w:ascii="宋体" w:hAnsi="宋体" w:eastAsia="宋体" w:cs="宋体"/>
          <w:bCs/>
          <w:sz w:val="24"/>
        </w:rPr>
      </w:pPr>
      <w:bookmarkStart w:id="55" w:name="_Toc26979"/>
      <w:bookmarkStart w:id="56" w:name="_Toc14880"/>
      <w:bookmarkStart w:id="57" w:name="_Toc15928"/>
      <w:bookmarkStart w:id="58" w:name="_Toc9699"/>
      <w:r>
        <w:rPr>
          <w:rFonts w:hint="eastAsia" w:ascii="宋体" w:hAnsi="宋体" w:eastAsia="宋体" w:cs="宋体"/>
          <w:bCs/>
          <w:sz w:val="24"/>
        </w:rPr>
        <w:t>本招标文件共分五部分，内容如下：</w:t>
      </w:r>
      <w:bookmarkEnd w:id="55"/>
      <w:bookmarkEnd w:id="56"/>
      <w:bookmarkEnd w:id="57"/>
      <w:bookmarkEnd w:id="58"/>
    </w:p>
    <w:p>
      <w:pPr>
        <w:pStyle w:val="12"/>
        <w:spacing w:line="360" w:lineRule="auto"/>
        <w:ind w:left="0" w:leftChars="0" w:firstLine="442" w:firstLineChars="200"/>
        <w:outlineLvl w:val="0"/>
        <w:rPr>
          <w:rFonts w:hint="eastAsia" w:ascii="宋体" w:hAnsi="宋体" w:eastAsia="宋体" w:cs="宋体"/>
          <w:bCs/>
          <w:sz w:val="24"/>
        </w:rPr>
      </w:pPr>
      <w:bookmarkStart w:id="59" w:name="_Toc1277"/>
      <w:bookmarkStart w:id="60" w:name="_Toc25524"/>
      <w:bookmarkStart w:id="61" w:name="_Toc16463"/>
      <w:bookmarkStart w:id="62" w:name="_Toc18048"/>
      <w:bookmarkStart w:id="63" w:name="_Toc514"/>
      <w:bookmarkStart w:id="64" w:name="_Toc29732"/>
      <w:r>
        <w:rPr>
          <w:rFonts w:hint="eastAsia" w:ascii="宋体" w:hAnsi="宋体" w:eastAsia="宋体" w:cs="宋体"/>
          <w:bCs/>
          <w:sz w:val="24"/>
        </w:rPr>
        <w:t xml:space="preserve">第一部分  </w:t>
      </w:r>
      <w:bookmarkEnd w:id="59"/>
      <w:r>
        <w:rPr>
          <w:rFonts w:hint="eastAsia" w:ascii="宋体" w:hAnsi="宋体" w:eastAsia="宋体" w:cs="宋体"/>
          <w:bCs/>
          <w:sz w:val="24"/>
        </w:rPr>
        <w:t>招标公告</w:t>
      </w:r>
      <w:bookmarkEnd w:id="60"/>
      <w:bookmarkEnd w:id="61"/>
    </w:p>
    <w:p>
      <w:pPr>
        <w:pStyle w:val="12"/>
        <w:spacing w:line="360" w:lineRule="auto"/>
        <w:ind w:left="0" w:leftChars="0" w:firstLine="442" w:firstLineChars="200"/>
        <w:outlineLvl w:val="0"/>
        <w:rPr>
          <w:rFonts w:hint="eastAsia" w:ascii="宋体" w:hAnsi="宋体" w:eastAsia="宋体" w:cs="宋体"/>
          <w:bCs/>
          <w:sz w:val="24"/>
        </w:rPr>
      </w:pPr>
      <w:bookmarkStart w:id="65" w:name="_Toc29408"/>
      <w:bookmarkStart w:id="66" w:name="_Toc18008"/>
      <w:bookmarkStart w:id="67" w:name="_Toc27875"/>
      <w:r>
        <w:rPr>
          <w:rFonts w:hint="eastAsia" w:ascii="宋体" w:hAnsi="宋体" w:eastAsia="宋体" w:cs="宋体"/>
          <w:bCs/>
          <w:sz w:val="24"/>
        </w:rPr>
        <w:t>第二部分  招标须知</w:t>
      </w:r>
      <w:bookmarkEnd w:id="65"/>
      <w:bookmarkEnd w:id="66"/>
      <w:bookmarkEnd w:id="67"/>
    </w:p>
    <w:p>
      <w:pPr>
        <w:pStyle w:val="12"/>
        <w:spacing w:line="360" w:lineRule="auto"/>
        <w:ind w:left="0" w:leftChars="0" w:firstLine="442" w:firstLineChars="200"/>
        <w:outlineLvl w:val="0"/>
        <w:rPr>
          <w:rFonts w:hint="eastAsia" w:ascii="宋体" w:hAnsi="宋体" w:eastAsia="宋体" w:cs="宋体"/>
          <w:bCs/>
          <w:sz w:val="24"/>
        </w:rPr>
      </w:pPr>
      <w:bookmarkStart w:id="68" w:name="_Toc27792"/>
      <w:bookmarkStart w:id="69" w:name="_Toc9536"/>
      <w:bookmarkStart w:id="70" w:name="_Toc17696"/>
      <w:r>
        <w:rPr>
          <w:rFonts w:hint="eastAsia" w:ascii="宋体" w:hAnsi="宋体" w:eastAsia="宋体" w:cs="宋体"/>
          <w:bCs/>
          <w:sz w:val="24"/>
        </w:rPr>
        <w:t xml:space="preserve">第三部分  </w:t>
      </w:r>
      <w:bookmarkEnd w:id="68"/>
      <w:bookmarkEnd w:id="69"/>
      <w:bookmarkEnd w:id="70"/>
      <w:bookmarkStart w:id="71" w:name="_Toc20733"/>
      <w:r>
        <w:rPr>
          <w:rFonts w:hint="eastAsia" w:ascii="宋体" w:hAnsi="宋体" w:eastAsia="宋体" w:cs="宋体"/>
          <w:bCs/>
          <w:sz w:val="24"/>
        </w:rPr>
        <w:t>采购需求</w:t>
      </w:r>
    </w:p>
    <w:p>
      <w:pPr>
        <w:pStyle w:val="12"/>
        <w:spacing w:line="360" w:lineRule="auto"/>
        <w:ind w:left="0" w:leftChars="0" w:firstLine="442" w:firstLineChars="200"/>
        <w:outlineLvl w:val="0"/>
        <w:rPr>
          <w:rFonts w:hint="eastAsia" w:ascii="宋体" w:hAnsi="宋体" w:eastAsia="宋体" w:cs="宋体"/>
          <w:bCs/>
          <w:sz w:val="24"/>
        </w:rPr>
      </w:pPr>
      <w:r>
        <w:rPr>
          <w:rFonts w:hint="eastAsia" w:ascii="宋体" w:hAnsi="宋体" w:eastAsia="宋体" w:cs="宋体"/>
          <w:bCs/>
          <w:sz w:val="24"/>
        </w:rPr>
        <w:t>第四部分  合同条款</w:t>
      </w:r>
      <w:bookmarkEnd w:id="71"/>
    </w:p>
    <w:p>
      <w:pPr>
        <w:pStyle w:val="12"/>
        <w:spacing w:line="360" w:lineRule="auto"/>
        <w:ind w:left="0" w:leftChars="0" w:firstLine="442" w:firstLineChars="200"/>
        <w:outlineLvl w:val="0"/>
        <w:rPr>
          <w:rFonts w:hint="eastAsia" w:ascii="宋体" w:hAnsi="宋体" w:eastAsia="宋体" w:cs="宋体"/>
          <w:bCs/>
          <w:sz w:val="24"/>
        </w:rPr>
      </w:pPr>
      <w:bookmarkStart w:id="72" w:name="_Toc29695"/>
      <w:bookmarkStart w:id="73" w:name="_Toc24135"/>
      <w:bookmarkStart w:id="74" w:name="_Toc18810"/>
      <w:r>
        <w:rPr>
          <w:rFonts w:hint="eastAsia" w:ascii="宋体" w:hAnsi="宋体" w:eastAsia="宋体" w:cs="宋体"/>
          <w:bCs/>
          <w:sz w:val="24"/>
        </w:rPr>
        <w:t>第五部分  附件</w:t>
      </w:r>
      <w:bookmarkEnd w:id="72"/>
      <w:bookmarkEnd w:id="73"/>
      <w:bookmarkEnd w:id="74"/>
    </w:p>
    <w:p>
      <w:pPr>
        <w:pStyle w:val="12"/>
        <w:spacing w:line="360" w:lineRule="auto"/>
        <w:ind w:left="0" w:leftChars="0" w:firstLine="442" w:firstLineChars="200"/>
        <w:outlineLvl w:val="0"/>
        <w:rPr>
          <w:rFonts w:hint="eastAsia" w:ascii="宋体" w:hAnsi="宋体" w:eastAsia="宋体" w:cs="宋体"/>
          <w:bCs/>
          <w:sz w:val="24"/>
        </w:rPr>
      </w:pPr>
      <w:bookmarkStart w:id="75" w:name="_Toc1121"/>
      <w:bookmarkStart w:id="76" w:name="_Toc6114"/>
      <w:r>
        <w:rPr>
          <w:rFonts w:hint="eastAsia" w:ascii="宋体" w:hAnsi="宋体" w:eastAsia="宋体" w:cs="宋体"/>
          <w:bCs/>
          <w:sz w:val="24"/>
        </w:rPr>
        <w:t>7.  招标文件澄清和修改</w:t>
      </w:r>
      <w:bookmarkEnd w:id="62"/>
      <w:bookmarkEnd w:id="63"/>
      <w:bookmarkEnd w:id="75"/>
      <w:bookmarkEnd w:id="76"/>
    </w:p>
    <w:p>
      <w:pPr>
        <w:pStyle w:val="12"/>
        <w:spacing w:line="360" w:lineRule="auto"/>
        <w:ind w:left="0" w:leftChars="0" w:firstLine="442" w:firstLineChars="200"/>
        <w:outlineLvl w:val="0"/>
        <w:rPr>
          <w:rFonts w:hint="eastAsia" w:ascii="宋体" w:hAnsi="宋体" w:eastAsia="宋体" w:cs="宋体"/>
          <w:bCs/>
          <w:sz w:val="24"/>
        </w:rPr>
      </w:pPr>
      <w:bookmarkStart w:id="77" w:name="_Toc14713"/>
      <w:bookmarkStart w:id="78" w:name="_Toc21273"/>
      <w:bookmarkStart w:id="79" w:name="_Toc27026"/>
      <w:bookmarkStart w:id="80" w:name="_Toc7897"/>
      <w:bookmarkStart w:id="81" w:name="_Toc7726"/>
      <w:r>
        <w:rPr>
          <w:rFonts w:hint="eastAsia" w:ascii="宋体" w:hAnsi="宋体" w:eastAsia="宋体" w:cs="宋体"/>
          <w:bCs/>
          <w:sz w:val="24"/>
        </w:rPr>
        <w:t>7.1 任何已登记备案并领取了招标文件的投标企业，均可要求对招标文件进行澄清，澄清要求应在2023年X月Y日下午17时前将澄清要求提出并通知招标代理机构。在规定时间以后提出的澄清要求将不予受理。</w:t>
      </w:r>
      <w:bookmarkEnd w:id="77"/>
      <w:bookmarkEnd w:id="78"/>
      <w:bookmarkEnd w:id="79"/>
      <w:bookmarkEnd w:id="80"/>
      <w:bookmarkEnd w:id="81"/>
    </w:p>
    <w:p>
      <w:pPr>
        <w:pStyle w:val="12"/>
        <w:spacing w:line="360" w:lineRule="auto"/>
        <w:ind w:left="0" w:leftChars="0" w:firstLine="442" w:firstLineChars="200"/>
        <w:outlineLvl w:val="0"/>
        <w:rPr>
          <w:rFonts w:hint="eastAsia" w:ascii="宋体" w:hAnsi="宋体" w:eastAsia="宋体" w:cs="宋体"/>
          <w:bCs/>
          <w:sz w:val="24"/>
        </w:rPr>
      </w:pPr>
      <w:bookmarkStart w:id="82" w:name="_Toc5045"/>
      <w:bookmarkStart w:id="83" w:name="_Toc32706"/>
      <w:bookmarkStart w:id="84" w:name="_Toc23748"/>
      <w:bookmarkStart w:id="85" w:name="_Toc9382"/>
      <w:bookmarkStart w:id="86" w:name="_Toc1039"/>
      <w:r>
        <w:rPr>
          <w:rFonts w:hint="eastAsia" w:ascii="宋体" w:hAnsi="宋体" w:eastAsia="宋体" w:cs="宋体"/>
          <w:bCs/>
          <w:sz w:val="24"/>
        </w:rPr>
        <w:t>7.2 招标代理机构对收到的澄清要求将以书面形式予以答复，发给所有投标企业。答复中包括所提的问题，但不包括问题的来源。</w:t>
      </w:r>
      <w:bookmarkEnd w:id="82"/>
      <w:bookmarkEnd w:id="83"/>
      <w:bookmarkEnd w:id="84"/>
      <w:bookmarkEnd w:id="85"/>
      <w:bookmarkEnd w:id="86"/>
    </w:p>
    <w:p>
      <w:pPr>
        <w:pStyle w:val="12"/>
        <w:spacing w:line="360" w:lineRule="auto"/>
        <w:ind w:left="0" w:leftChars="0" w:firstLine="442" w:firstLineChars="200"/>
        <w:outlineLvl w:val="0"/>
        <w:rPr>
          <w:rFonts w:hint="eastAsia" w:ascii="宋体" w:hAnsi="宋体" w:eastAsia="宋体" w:cs="宋体"/>
          <w:bCs/>
          <w:sz w:val="24"/>
        </w:rPr>
      </w:pPr>
      <w:bookmarkStart w:id="87" w:name="_Toc23628"/>
      <w:bookmarkStart w:id="88" w:name="_Toc13218"/>
      <w:bookmarkStart w:id="89" w:name="_Toc12651"/>
      <w:bookmarkStart w:id="90" w:name="_Toc28412"/>
      <w:bookmarkStart w:id="91" w:name="_Toc28471"/>
      <w:r>
        <w:rPr>
          <w:rFonts w:hint="eastAsia" w:ascii="宋体" w:hAnsi="宋体" w:eastAsia="宋体" w:cs="宋体"/>
          <w:bCs/>
          <w:sz w:val="24"/>
        </w:rPr>
        <w:t>7.3 为使投标企业有足够的时间按招标文件的要求编制投标文件，招标代理机构可酌情推迟报价的截止与开标时间，并以书面形式通知所有投标企业。</w:t>
      </w:r>
      <w:bookmarkEnd w:id="87"/>
      <w:bookmarkEnd w:id="88"/>
      <w:bookmarkEnd w:id="89"/>
      <w:bookmarkEnd w:id="90"/>
      <w:bookmarkEnd w:id="91"/>
    </w:p>
    <w:p>
      <w:pPr>
        <w:pStyle w:val="12"/>
        <w:spacing w:line="360" w:lineRule="auto"/>
        <w:ind w:left="0" w:leftChars="0" w:firstLine="0" w:firstLineChars="0"/>
        <w:outlineLvl w:val="0"/>
        <w:rPr>
          <w:rFonts w:hint="eastAsia" w:ascii="宋体" w:hAnsi="宋体" w:eastAsia="宋体" w:cs="宋体"/>
          <w:bCs/>
          <w:sz w:val="28"/>
        </w:rPr>
      </w:pPr>
      <w:bookmarkStart w:id="92" w:name="_Toc28924"/>
      <w:bookmarkStart w:id="93" w:name="_Toc8480"/>
      <w:bookmarkStart w:id="94" w:name="_Toc23437"/>
      <w:r>
        <w:rPr>
          <w:rFonts w:hint="eastAsia" w:ascii="宋体" w:hAnsi="宋体" w:eastAsia="宋体" w:cs="宋体"/>
          <w:bCs/>
          <w:sz w:val="28"/>
        </w:rPr>
        <w:t>三、投标文件编制</w:t>
      </w:r>
      <w:bookmarkEnd w:id="64"/>
      <w:bookmarkEnd w:id="92"/>
      <w:bookmarkEnd w:id="93"/>
      <w:bookmarkEnd w:id="94"/>
    </w:p>
    <w:p>
      <w:pPr>
        <w:pStyle w:val="12"/>
        <w:spacing w:line="360" w:lineRule="auto"/>
        <w:ind w:left="0" w:leftChars="0" w:firstLine="442" w:firstLineChars="200"/>
        <w:outlineLvl w:val="0"/>
        <w:rPr>
          <w:rFonts w:hint="eastAsia" w:ascii="宋体" w:hAnsi="宋体" w:eastAsia="宋体" w:cs="宋体"/>
          <w:bCs/>
          <w:sz w:val="24"/>
        </w:rPr>
      </w:pPr>
      <w:bookmarkStart w:id="95" w:name="_Toc2789"/>
      <w:bookmarkStart w:id="96" w:name="_Toc11304"/>
      <w:bookmarkStart w:id="97" w:name="_Toc14375"/>
      <w:bookmarkStart w:id="98" w:name="_Toc19915"/>
      <w:r>
        <w:rPr>
          <w:rFonts w:hint="eastAsia" w:ascii="宋体" w:hAnsi="宋体" w:eastAsia="宋体" w:cs="宋体"/>
          <w:bCs/>
          <w:sz w:val="24"/>
        </w:rPr>
        <w:t>8.  报价语言及计量单位</w:t>
      </w:r>
      <w:bookmarkEnd w:id="95"/>
      <w:bookmarkEnd w:id="96"/>
      <w:bookmarkEnd w:id="97"/>
      <w:bookmarkEnd w:id="98"/>
    </w:p>
    <w:p>
      <w:pPr>
        <w:pStyle w:val="12"/>
        <w:spacing w:line="360" w:lineRule="auto"/>
        <w:ind w:left="0" w:leftChars="0" w:firstLine="442" w:firstLineChars="200"/>
        <w:outlineLvl w:val="0"/>
        <w:rPr>
          <w:rFonts w:hint="eastAsia" w:ascii="宋体" w:hAnsi="宋体" w:eastAsia="宋体" w:cs="宋体"/>
          <w:bCs/>
          <w:sz w:val="24"/>
        </w:rPr>
      </w:pPr>
      <w:bookmarkStart w:id="99" w:name="_Toc30713"/>
      <w:bookmarkStart w:id="100" w:name="_Toc12226"/>
      <w:bookmarkStart w:id="101" w:name="_Toc27204"/>
      <w:bookmarkStart w:id="102" w:name="_Toc23546"/>
      <w:r>
        <w:rPr>
          <w:rFonts w:hint="eastAsia" w:ascii="宋体" w:hAnsi="宋体" w:eastAsia="宋体" w:cs="宋体"/>
          <w:bCs/>
          <w:sz w:val="24"/>
        </w:rPr>
        <w:t>8.1 投标企业提交的投标文件以及投标企业与招标代理机构就有关报价的所有来往函电均应使用中文简体字。</w:t>
      </w:r>
      <w:bookmarkEnd w:id="99"/>
      <w:bookmarkEnd w:id="100"/>
      <w:bookmarkEnd w:id="101"/>
      <w:bookmarkEnd w:id="102"/>
    </w:p>
    <w:p>
      <w:pPr>
        <w:pStyle w:val="12"/>
        <w:spacing w:line="360" w:lineRule="auto"/>
        <w:ind w:left="0" w:leftChars="0" w:firstLine="442" w:firstLineChars="200"/>
        <w:outlineLvl w:val="0"/>
        <w:rPr>
          <w:rFonts w:hint="eastAsia" w:ascii="宋体" w:hAnsi="宋体" w:eastAsia="宋体" w:cs="宋体"/>
          <w:bCs/>
          <w:sz w:val="24"/>
        </w:rPr>
      </w:pPr>
      <w:bookmarkStart w:id="103" w:name="_Toc7142"/>
      <w:bookmarkStart w:id="104" w:name="_Toc1442"/>
      <w:bookmarkStart w:id="105" w:name="_Toc7093"/>
      <w:bookmarkStart w:id="106" w:name="_Toc32415"/>
      <w:r>
        <w:rPr>
          <w:rFonts w:hint="eastAsia" w:ascii="宋体" w:hAnsi="宋体" w:eastAsia="宋体" w:cs="宋体"/>
          <w:bCs/>
          <w:sz w:val="24"/>
        </w:rPr>
        <w:t>8.2 投标企业所提供的技术文件和资料，应使用中文简体字。</w:t>
      </w:r>
      <w:bookmarkEnd w:id="103"/>
      <w:bookmarkEnd w:id="104"/>
      <w:bookmarkEnd w:id="105"/>
      <w:bookmarkEnd w:id="106"/>
    </w:p>
    <w:p>
      <w:pPr>
        <w:pStyle w:val="12"/>
        <w:spacing w:line="360" w:lineRule="auto"/>
        <w:ind w:left="0" w:leftChars="0" w:firstLine="442" w:firstLineChars="200"/>
        <w:outlineLvl w:val="0"/>
        <w:rPr>
          <w:rFonts w:hint="eastAsia" w:ascii="宋体" w:hAnsi="宋体" w:eastAsia="宋体" w:cs="宋体"/>
          <w:bCs/>
          <w:sz w:val="24"/>
        </w:rPr>
      </w:pPr>
      <w:bookmarkStart w:id="107" w:name="_Toc23913"/>
      <w:bookmarkStart w:id="108" w:name="_Toc4079"/>
      <w:bookmarkStart w:id="109" w:name="_Toc13733"/>
      <w:bookmarkStart w:id="110" w:name="_Toc4936"/>
      <w:r>
        <w:rPr>
          <w:rFonts w:hint="eastAsia" w:ascii="宋体" w:hAnsi="宋体" w:eastAsia="宋体" w:cs="宋体"/>
          <w:bCs/>
          <w:sz w:val="24"/>
        </w:rPr>
        <w:t>8.3 原版为外文的证书类文件，以及由外国人做出的本人签名、外国公司的名称或外国印章等可以是外文，但招标代理机构可以要求投标企业提供翻译文件，必要时可以要求提供附有公证书的翻译文件。</w:t>
      </w:r>
      <w:bookmarkEnd w:id="107"/>
      <w:bookmarkEnd w:id="108"/>
      <w:bookmarkEnd w:id="109"/>
      <w:bookmarkEnd w:id="110"/>
    </w:p>
    <w:p>
      <w:pPr>
        <w:pStyle w:val="12"/>
        <w:spacing w:line="360" w:lineRule="auto"/>
        <w:ind w:left="0" w:leftChars="0" w:firstLine="442" w:firstLineChars="200"/>
        <w:outlineLvl w:val="0"/>
        <w:rPr>
          <w:rFonts w:hint="eastAsia" w:ascii="宋体" w:hAnsi="宋体" w:eastAsia="宋体" w:cs="宋体"/>
          <w:bCs/>
          <w:sz w:val="24"/>
        </w:rPr>
      </w:pPr>
      <w:bookmarkStart w:id="111" w:name="_Toc2632"/>
      <w:bookmarkStart w:id="112" w:name="_Toc25062"/>
      <w:bookmarkStart w:id="113" w:name="_Toc28789"/>
      <w:bookmarkStart w:id="114" w:name="_Toc10930"/>
      <w:r>
        <w:rPr>
          <w:rFonts w:hint="eastAsia" w:ascii="宋体" w:hAnsi="宋体" w:eastAsia="宋体" w:cs="宋体"/>
          <w:bCs/>
          <w:sz w:val="24"/>
        </w:rPr>
        <w:t>8.4 除招标文件的技术规格中另有规定外，投标文件中所使用的计量单位应使用中华人民共和国法定计量单位。</w:t>
      </w:r>
      <w:bookmarkEnd w:id="111"/>
      <w:bookmarkEnd w:id="112"/>
      <w:bookmarkEnd w:id="113"/>
      <w:bookmarkEnd w:id="114"/>
    </w:p>
    <w:p>
      <w:pPr>
        <w:pStyle w:val="12"/>
        <w:spacing w:line="360" w:lineRule="auto"/>
        <w:ind w:left="0" w:leftChars="0" w:firstLine="442" w:firstLineChars="200"/>
        <w:outlineLvl w:val="0"/>
        <w:rPr>
          <w:rFonts w:hint="eastAsia" w:ascii="宋体" w:hAnsi="宋体" w:eastAsia="宋体" w:cs="宋体"/>
          <w:bCs/>
          <w:sz w:val="24"/>
        </w:rPr>
      </w:pPr>
      <w:bookmarkStart w:id="115" w:name="_Toc17077"/>
      <w:bookmarkStart w:id="116" w:name="_Toc29881"/>
      <w:bookmarkStart w:id="117" w:name="_Toc932"/>
      <w:bookmarkStart w:id="118" w:name="_Toc21163"/>
      <w:r>
        <w:rPr>
          <w:rFonts w:hint="eastAsia" w:ascii="宋体" w:hAnsi="宋体" w:eastAsia="宋体" w:cs="宋体"/>
          <w:bCs/>
          <w:sz w:val="24"/>
        </w:rPr>
        <w:t>8.5 对违反上述规定情形的，评标委员会有权要求其限期提供加盖公章的翻译文件或取消其投标资格。</w:t>
      </w:r>
      <w:bookmarkEnd w:id="115"/>
      <w:bookmarkEnd w:id="116"/>
      <w:bookmarkEnd w:id="117"/>
      <w:bookmarkEnd w:id="118"/>
    </w:p>
    <w:p>
      <w:pPr>
        <w:pStyle w:val="12"/>
        <w:spacing w:line="360" w:lineRule="auto"/>
        <w:ind w:left="0" w:leftChars="0" w:firstLine="442" w:firstLineChars="200"/>
        <w:outlineLvl w:val="0"/>
        <w:rPr>
          <w:rFonts w:hint="eastAsia" w:ascii="宋体" w:hAnsi="宋体" w:eastAsia="宋体" w:cs="宋体"/>
          <w:bCs/>
          <w:sz w:val="24"/>
        </w:rPr>
      </w:pPr>
      <w:bookmarkStart w:id="119" w:name="_Toc1174"/>
      <w:bookmarkStart w:id="120" w:name="_Toc13217"/>
      <w:bookmarkStart w:id="121" w:name="_Toc20523"/>
      <w:bookmarkStart w:id="122" w:name="_Toc21971"/>
      <w:r>
        <w:rPr>
          <w:rFonts w:hint="eastAsia" w:ascii="宋体" w:hAnsi="宋体" w:eastAsia="宋体" w:cs="宋体"/>
          <w:bCs/>
          <w:sz w:val="24"/>
        </w:rPr>
        <w:t>9.  投标文件构成</w:t>
      </w:r>
      <w:bookmarkEnd w:id="119"/>
      <w:bookmarkEnd w:id="120"/>
      <w:bookmarkEnd w:id="121"/>
      <w:bookmarkEnd w:id="122"/>
    </w:p>
    <w:p>
      <w:pPr>
        <w:pStyle w:val="12"/>
        <w:spacing w:line="360" w:lineRule="auto"/>
        <w:ind w:left="0" w:leftChars="0" w:firstLine="442" w:firstLineChars="200"/>
        <w:outlineLvl w:val="0"/>
        <w:rPr>
          <w:rFonts w:hint="eastAsia" w:ascii="宋体" w:hAnsi="宋体" w:eastAsia="宋体" w:cs="宋体"/>
          <w:bCs/>
          <w:sz w:val="24"/>
        </w:rPr>
      </w:pPr>
      <w:bookmarkStart w:id="123" w:name="_Toc32080"/>
      <w:bookmarkStart w:id="124" w:name="_Toc29133"/>
      <w:bookmarkStart w:id="125" w:name="_Toc24606"/>
      <w:bookmarkStart w:id="126" w:name="_Toc21802"/>
      <w:r>
        <w:rPr>
          <w:rFonts w:hint="eastAsia" w:ascii="宋体" w:hAnsi="宋体" w:eastAsia="宋体" w:cs="宋体"/>
          <w:bCs/>
          <w:sz w:val="24"/>
        </w:rPr>
        <w:t>9.1 法定代表人或授权代表签署的报价函（附件一）</w:t>
      </w:r>
      <w:bookmarkEnd w:id="123"/>
      <w:bookmarkEnd w:id="124"/>
      <w:bookmarkEnd w:id="125"/>
      <w:bookmarkEnd w:id="126"/>
    </w:p>
    <w:p>
      <w:pPr>
        <w:pStyle w:val="12"/>
        <w:spacing w:line="360" w:lineRule="auto"/>
        <w:ind w:left="0" w:leftChars="0" w:firstLine="442" w:firstLineChars="200"/>
        <w:outlineLvl w:val="0"/>
        <w:rPr>
          <w:rFonts w:hint="eastAsia" w:ascii="宋体" w:hAnsi="宋体" w:eastAsia="宋体" w:cs="宋体"/>
          <w:bCs/>
          <w:sz w:val="24"/>
        </w:rPr>
      </w:pPr>
      <w:bookmarkStart w:id="127" w:name="_Toc2641"/>
      <w:bookmarkStart w:id="128" w:name="_Toc21731"/>
      <w:bookmarkStart w:id="129" w:name="_Toc1922"/>
      <w:bookmarkStart w:id="130" w:name="_Toc17658"/>
      <w:r>
        <w:rPr>
          <w:rFonts w:hint="eastAsia" w:ascii="宋体" w:hAnsi="宋体" w:eastAsia="宋体" w:cs="宋体"/>
          <w:bCs/>
          <w:sz w:val="24"/>
        </w:rPr>
        <w:t>9.2  资格证明文件</w:t>
      </w:r>
      <w:bookmarkEnd w:id="127"/>
      <w:bookmarkEnd w:id="128"/>
      <w:bookmarkEnd w:id="129"/>
      <w:bookmarkEnd w:id="130"/>
    </w:p>
    <w:p>
      <w:pPr>
        <w:pStyle w:val="12"/>
        <w:spacing w:line="360" w:lineRule="auto"/>
        <w:ind w:left="0" w:leftChars="0" w:firstLine="442" w:firstLineChars="200"/>
        <w:outlineLvl w:val="0"/>
        <w:rPr>
          <w:rFonts w:hint="eastAsia" w:ascii="宋体" w:hAnsi="宋体" w:eastAsia="宋体" w:cs="宋体"/>
          <w:bCs/>
          <w:sz w:val="24"/>
        </w:rPr>
      </w:pPr>
      <w:bookmarkStart w:id="131" w:name="_Toc21968"/>
      <w:bookmarkStart w:id="132" w:name="_Toc2686"/>
      <w:bookmarkStart w:id="133" w:name="_Toc722"/>
      <w:bookmarkStart w:id="134" w:name="_Toc8166"/>
      <w:r>
        <w:rPr>
          <w:rFonts w:hint="eastAsia" w:ascii="宋体" w:hAnsi="宋体" w:eastAsia="宋体" w:cs="宋体"/>
          <w:bCs/>
          <w:sz w:val="24"/>
        </w:rPr>
        <w:t>1) 营业执照副本复印件（加盖公章）；</w:t>
      </w:r>
      <w:bookmarkEnd w:id="131"/>
      <w:bookmarkEnd w:id="132"/>
      <w:bookmarkEnd w:id="133"/>
      <w:bookmarkEnd w:id="134"/>
      <w:r>
        <w:rPr>
          <w:rFonts w:hint="eastAsia" w:ascii="宋体" w:hAnsi="宋体" w:eastAsia="宋体" w:cs="宋体"/>
          <w:bCs/>
          <w:sz w:val="24"/>
        </w:rPr>
        <w:t xml:space="preserve"> </w:t>
      </w:r>
    </w:p>
    <w:p>
      <w:pPr>
        <w:pStyle w:val="12"/>
        <w:spacing w:line="360" w:lineRule="auto"/>
        <w:ind w:left="0" w:leftChars="0" w:firstLine="442" w:firstLineChars="200"/>
        <w:outlineLvl w:val="0"/>
        <w:rPr>
          <w:rFonts w:hint="eastAsia" w:ascii="宋体" w:hAnsi="宋体" w:eastAsia="宋体" w:cs="宋体"/>
          <w:bCs/>
          <w:sz w:val="24"/>
        </w:rPr>
      </w:pPr>
      <w:bookmarkStart w:id="135" w:name="_Toc19852"/>
      <w:bookmarkStart w:id="136" w:name="_Toc18125"/>
      <w:bookmarkStart w:id="137" w:name="_Toc4937"/>
      <w:bookmarkStart w:id="138" w:name="_Toc9283"/>
      <w:r>
        <w:rPr>
          <w:rFonts w:hint="eastAsia" w:ascii="宋体" w:hAnsi="宋体" w:eastAsia="宋体" w:cs="宋体"/>
          <w:bCs/>
          <w:sz w:val="24"/>
        </w:rPr>
        <w:t>2) 法定代表人证及身份证复印件或法定代表人授权委托书及被授权人身份证；</w:t>
      </w:r>
      <w:bookmarkEnd w:id="135"/>
      <w:bookmarkEnd w:id="136"/>
      <w:bookmarkEnd w:id="137"/>
      <w:bookmarkEnd w:id="138"/>
      <w:bookmarkStart w:id="139" w:name="_Toc17987"/>
      <w:bookmarkStart w:id="140" w:name="_Toc19779"/>
      <w:bookmarkStart w:id="141" w:name="_Toc31255"/>
      <w:bookmarkStart w:id="142" w:name="_Toc24236"/>
    </w:p>
    <w:p>
      <w:pPr>
        <w:pStyle w:val="12"/>
        <w:spacing w:line="360" w:lineRule="auto"/>
        <w:ind w:left="0" w:leftChars="0" w:firstLine="442" w:firstLineChars="200"/>
        <w:outlineLvl w:val="0"/>
        <w:rPr>
          <w:rFonts w:hint="eastAsia" w:ascii="宋体" w:hAnsi="宋体" w:eastAsia="宋体" w:cs="宋体"/>
          <w:bCs/>
          <w:sz w:val="24"/>
        </w:rPr>
      </w:pPr>
      <w:r>
        <w:rPr>
          <w:rFonts w:hint="eastAsia" w:ascii="宋体" w:hAnsi="宋体" w:eastAsia="宋体" w:cs="宋体"/>
          <w:bCs/>
          <w:sz w:val="24"/>
        </w:rPr>
        <w:t>3）在经营活动中近三年没有重大违法记录的书面声明（格式详见附件五）；</w:t>
      </w:r>
    </w:p>
    <w:p>
      <w:pPr>
        <w:pStyle w:val="12"/>
        <w:spacing w:line="360" w:lineRule="auto"/>
        <w:ind w:left="0" w:leftChars="0" w:firstLine="442" w:firstLineChars="200"/>
        <w:outlineLvl w:val="0"/>
        <w:rPr>
          <w:rFonts w:hint="eastAsia" w:ascii="宋体" w:hAnsi="宋体" w:eastAsia="宋体" w:cs="宋体"/>
          <w:bCs/>
          <w:sz w:val="24"/>
        </w:rPr>
      </w:pPr>
      <w:r>
        <w:rPr>
          <w:rFonts w:hint="eastAsia" w:ascii="宋体" w:hAnsi="宋体" w:eastAsia="宋体" w:cs="宋体"/>
          <w:bCs/>
          <w:sz w:val="24"/>
        </w:rPr>
        <w:t>4）阳光业务告知书（格式见附件六）；</w:t>
      </w:r>
    </w:p>
    <w:p>
      <w:pPr>
        <w:pStyle w:val="12"/>
        <w:spacing w:line="360" w:lineRule="auto"/>
        <w:ind w:left="0" w:leftChars="0" w:firstLine="442" w:firstLineChars="200"/>
        <w:outlineLvl w:val="0"/>
        <w:rPr>
          <w:rFonts w:hint="eastAsia" w:ascii="宋体" w:hAnsi="宋体" w:eastAsia="宋体" w:cs="宋体"/>
          <w:bCs/>
          <w:sz w:val="24"/>
          <w:lang w:val="en-US" w:eastAsia="zh-CN"/>
        </w:rPr>
      </w:pPr>
      <w:r>
        <w:rPr>
          <w:rFonts w:hint="eastAsia" w:ascii="宋体" w:hAnsi="宋体" w:eastAsia="宋体" w:cs="宋体"/>
          <w:bCs/>
          <w:sz w:val="24"/>
        </w:rPr>
        <w:t>5）</w:t>
      </w:r>
      <w:r>
        <w:rPr>
          <w:rFonts w:hint="eastAsia" w:ascii="宋体" w:hAnsi="宋体" w:eastAsia="宋体" w:cs="宋体"/>
          <w:bCs/>
          <w:sz w:val="24"/>
          <w:lang w:val="en-US" w:eastAsia="zh-CN"/>
        </w:rPr>
        <w:t>业绩资料</w:t>
      </w:r>
    </w:p>
    <w:p>
      <w:pPr>
        <w:pStyle w:val="12"/>
        <w:spacing w:line="360" w:lineRule="auto"/>
        <w:ind w:left="0" w:leftChars="0" w:firstLine="442" w:firstLineChars="200"/>
        <w:outlineLvl w:val="0"/>
        <w:rPr>
          <w:rFonts w:hint="eastAsia" w:ascii="宋体" w:hAnsi="宋体" w:eastAsia="宋体" w:cs="宋体"/>
          <w:bCs/>
          <w:sz w:val="24"/>
          <w:lang w:val="en-US" w:eastAsia="zh-CN"/>
        </w:rPr>
      </w:pPr>
      <w:r>
        <w:rPr>
          <w:rFonts w:hint="eastAsia" w:ascii="宋体" w:hAnsi="宋体" w:eastAsia="宋体" w:cs="宋体"/>
          <w:bCs/>
          <w:sz w:val="24"/>
          <w:lang w:val="en-US" w:eastAsia="zh-CN"/>
        </w:rPr>
        <w:t>6）</w:t>
      </w:r>
      <w:r>
        <w:rPr>
          <w:rFonts w:hint="eastAsia" w:ascii="宋体" w:hAnsi="宋体" w:eastAsia="宋体" w:cs="宋体"/>
          <w:color w:val="000000" w:themeColor="text1"/>
          <w:kern w:val="0"/>
          <w:sz w:val="24"/>
          <w14:textFill>
            <w14:solidFill>
              <w14:schemeClr w14:val="tx1"/>
            </w14:solidFill>
          </w14:textFill>
        </w:rPr>
        <w:t>《食品生产许可证》或《食品经营许可证》</w:t>
      </w:r>
    </w:p>
    <w:p>
      <w:pPr>
        <w:pStyle w:val="12"/>
        <w:spacing w:line="360" w:lineRule="auto"/>
        <w:ind w:left="0" w:leftChars="0" w:firstLine="442" w:firstLineChars="200"/>
        <w:outlineLvl w:val="0"/>
        <w:rPr>
          <w:rFonts w:hint="eastAsia" w:ascii="宋体" w:hAnsi="宋体" w:eastAsia="宋体" w:cs="宋体"/>
          <w:bCs/>
          <w:sz w:val="24"/>
        </w:rPr>
      </w:pPr>
      <w:r>
        <w:rPr>
          <w:rFonts w:hint="eastAsia" w:ascii="宋体" w:hAnsi="宋体" w:eastAsia="宋体" w:cs="宋体"/>
          <w:bCs/>
          <w:sz w:val="24"/>
          <w:lang w:val="en-US" w:eastAsia="zh-CN"/>
        </w:rPr>
        <w:t>7）</w:t>
      </w:r>
      <w:r>
        <w:rPr>
          <w:rFonts w:hint="eastAsia" w:ascii="宋体" w:hAnsi="宋体" w:eastAsia="宋体" w:cs="宋体"/>
          <w:bCs/>
          <w:sz w:val="24"/>
        </w:rPr>
        <w:t>需要提交的其他文件</w:t>
      </w:r>
      <w:bookmarkEnd w:id="139"/>
      <w:bookmarkEnd w:id="140"/>
      <w:bookmarkEnd w:id="141"/>
      <w:bookmarkEnd w:id="142"/>
      <w:r>
        <w:rPr>
          <w:rFonts w:hint="eastAsia" w:ascii="宋体" w:hAnsi="宋体" w:eastAsia="宋体" w:cs="宋体"/>
          <w:bCs/>
          <w:sz w:val="24"/>
        </w:rPr>
        <w:t>。</w:t>
      </w:r>
    </w:p>
    <w:p>
      <w:pPr>
        <w:pStyle w:val="12"/>
        <w:spacing w:line="360" w:lineRule="auto"/>
        <w:ind w:left="0" w:leftChars="0" w:firstLine="442" w:firstLineChars="200"/>
        <w:outlineLvl w:val="0"/>
        <w:rPr>
          <w:rFonts w:hint="eastAsia" w:ascii="宋体" w:hAnsi="宋体" w:eastAsia="宋体" w:cs="宋体"/>
          <w:bCs/>
          <w:sz w:val="24"/>
        </w:rPr>
      </w:pPr>
      <w:bookmarkStart w:id="143" w:name="_Toc6546"/>
      <w:bookmarkStart w:id="144" w:name="_Toc29425"/>
      <w:bookmarkStart w:id="145" w:name="_Toc11914"/>
      <w:bookmarkStart w:id="146" w:name="_Toc14480"/>
      <w:r>
        <w:rPr>
          <w:rFonts w:hint="eastAsia" w:ascii="宋体" w:hAnsi="宋体" w:eastAsia="宋体" w:cs="宋体"/>
          <w:bCs/>
          <w:sz w:val="24"/>
        </w:rPr>
        <w:t>评标委员会在需要时，可要求投标企业在一定期限内提供资格证明原件。</w:t>
      </w:r>
      <w:bookmarkEnd w:id="143"/>
      <w:bookmarkEnd w:id="144"/>
      <w:bookmarkEnd w:id="145"/>
      <w:bookmarkEnd w:id="146"/>
    </w:p>
    <w:p>
      <w:pPr>
        <w:pStyle w:val="12"/>
        <w:spacing w:line="360" w:lineRule="auto"/>
        <w:ind w:left="0" w:leftChars="0" w:firstLine="442" w:firstLineChars="200"/>
        <w:outlineLvl w:val="0"/>
        <w:rPr>
          <w:rFonts w:hint="eastAsia" w:ascii="宋体" w:hAnsi="宋体" w:eastAsia="宋体" w:cs="宋体"/>
          <w:bCs/>
          <w:sz w:val="24"/>
        </w:rPr>
      </w:pPr>
      <w:bookmarkStart w:id="147" w:name="_Toc20580"/>
      <w:bookmarkStart w:id="148" w:name="_Toc29036"/>
      <w:bookmarkStart w:id="149" w:name="_Toc3198"/>
      <w:bookmarkStart w:id="150" w:name="_Toc20772"/>
      <w:r>
        <w:rPr>
          <w:rFonts w:hint="eastAsia" w:ascii="宋体" w:hAnsi="宋体" w:eastAsia="宋体" w:cs="宋体"/>
          <w:bCs/>
          <w:sz w:val="24"/>
        </w:rPr>
        <w:t xml:space="preserve">9.3  </w:t>
      </w:r>
      <w:bookmarkEnd w:id="147"/>
      <w:bookmarkEnd w:id="148"/>
      <w:bookmarkEnd w:id="149"/>
      <w:bookmarkEnd w:id="150"/>
      <w:r>
        <w:rPr>
          <w:rFonts w:hint="eastAsia" w:ascii="宋体" w:hAnsi="宋体" w:eastAsia="宋体" w:cs="宋体"/>
          <w:bCs/>
          <w:sz w:val="24"/>
        </w:rPr>
        <w:t>其他内容</w:t>
      </w:r>
    </w:p>
    <w:p>
      <w:pPr>
        <w:pStyle w:val="12"/>
        <w:spacing w:line="360" w:lineRule="auto"/>
        <w:ind w:left="0" w:leftChars="0" w:firstLine="442" w:firstLineChars="200"/>
        <w:outlineLvl w:val="0"/>
        <w:rPr>
          <w:rFonts w:hint="eastAsia" w:ascii="宋体" w:hAnsi="宋体" w:eastAsia="宋体" w:cs="宋体"/>
          <w:sz w:val="24"/>
        </w:rPr>
      </w:pPr>
      <w:bookmarkStart w:id="151" w:name="_Toc19523"/>
      <w:bookmarkStart w:id="152" w:name="_Toc23135"/>
      <w:bookmarkStart w:id="153" w:name="_Toc10085"/>
      <w:bookmarkStart w:id="154" w:name="_Toc21243"/>
      <w:r>
        <w:rPr>
          <w:rFonts w:hint="eastAsia" w:ascii="宋体" w:hAnsi="宋体" w:eastAsia="宋体" w:cs="宋体"/>
          <w:bCs/>
          <w:sz w:val="24"/>
        </w:rPr>
        <w:t>1）开标一览表（附件三）；</w:t>
      </w:r>
      <w:bookmarkEnd w:id="151"/>
      <w:bookmarkEnd w:id="152"/>
      <w:bookmarkEnd w:id="153"/>
      <w:bookmarkEnd w:id="154"/>
    </w:p>
    <w:p>
      <w:pPr>
        <w:pStyle w:val="12"/>
        <w:spacing w:line="360" w:lineRule="auto"/>
        <w:ind w:left="0" w:leftChars="0" w:firstLine="442" w:firstLineChars="200"/>
        <w:outlineLvl w:val="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服务方案</w:t>
      </w:r>
      <w:r>
        <w:rPr>
          <w:rFonts w:hint="eastAsia" w:ascii="宋体" w:hAnsi="宋体" w:eastAsia="宋体" w:cs="宋体"/>
          <w:sz w:val="24"/>
        </w:rPr>
        <w:t>；</w:t>
      </w:r>
    </w:p>
    <w:p>
      <w:pPr>
        <w:pStyle w:val="12"/>
        <w:spacing w:line="360" w:lineRule="auto"/>
        <w:ind w:left="0" w:leftChars="0" w:firstLine="442" w:firstLineChars="200"/>
        <w:outlineLvl w:val="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）企业业绩（附件四）；</w:t>
      </w:r>
    </w:p>
    <w:p>
      <w:pPr>
        <w:pStyle w:val="12"/>
        <w:spacing w:line="360" w:lineRule="auto"/>
        <w:ind w:left="0" w:leftChars="0" w:firstLine="442" w:firstLineChars="200"/>
        <w:outlineLvl w:val="0"/>
        <w:rPr>
          <w:rFonts w:hint="eastAsia" w:ascii="宋体" w:hAnsi="宋体" w:eastAsia="宋体" w:cs="宋体"/>
          <w:sz w:val="24"/>
          <w:lang w:val="en-US" w:eastAsia="zh-CN"/>
        </w:rPr>
      </w:pPr>
      <w:r>
        <w:rPr>
          <w:rFonts w:hint="eastAsia" w:ascii="宋体" w:hAnsi="宋体" w:eastAsia="宋体" w:cs="宋体"/>
          <w:sz w:val="24"/>
          <w:lang w:val="en-US" w:eastAsia="zh-CN"/>
        </w:rPr>
        <w:t>4）质量保证和获奖一览表（附件五）；</w:t>
      </w:r>
    </w:p>
    <w:p>
      <w:pPr>
        <w:pStyle w:val="12"/>
        <w:spacing w:line="360" w:lineRule="auto"/>
        <w:ind w:left="0" w:leftChars="0" w:firstLine="442" w:firstLineChars="200"/>
        <w:outlineLvl w:val="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人员配置</w:t>
      </w:r>
      <w:r>
        <w:rPr>
          <w:rFonts w:hint="eastAsia" w:ascii="宋体" w:hAnsi="宋体" w:eastAsia="宋体" w:cs="宋体"/>
          <w:sz w:val="24"/>
        </w:rPr>
        <w:t>；</w:t>
      </w:r>
    </w:p>
    <w:p>
      <w:pPr>
        <w:pStyle w:val="12"/>
        <w:spacing w:line="360" w:lineRule="auto"/>
        <w:ind w:left="0" w:leftChars="0" w:firstLine="442" w:firstLineChars="200"/>
        <w:outlineLvl w:val="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）其它；</w:t>
      </w:r>
    </w:p>
    <w:p>
      <w:pPr>
        <w:pStyle w:val="12"/>
        <w:spacing w:line="360" w:lineRule="auto"/>
        <w:ind w:left="0" w:leftChars="0" w:firstLine="442" w:firstLineChars="200"/>
        <w:outlineLvl w:val="0"/>
        <w:rPr>
          <w:rFonts w:hint="eastAsia" w:ascii="宋体" w:hAnsi="宋体" w:eastAsia="宋体" w:cs="宋体"/>
          <w:bCs/>
          <w:sz w:val="24"/>
        </w:rPr>
      </w:pPr>
      <w:r>
        <w:rPr>
          <w:rFonts w:hint="eastAsia" w:ascii="宋体" w:hAnsi="宋体" w:eastAsia="宋体" w:cs="宋体"/>
          <w:bCs/>
          <w:sz w:val="24"/>
          <w:lang w:val="en-US" w:eastAsia="zh-CN"/>
        </w:rPr>
        <w:t>7</w:t>
      </w:r>
      <w:r>
        <w:rPr>
          <w:rFonts w:hint="eastAsia" w:ascii="宋体" w:hAnsi="宋体" w:eastAsia="宋体" w:cs="宋体"/>
          <w:bCs/>
          <w:sz w:val="24"/>
        </w:rPr>
        <w:t>）投标企业认为有必要提供的其他资料。</w:t>
      </w:r>
    </w:p>
    <w:p>
      <w:pPr>
        <w:pStyle w:val="12"/>
        <w:spacing w:line="360" w:lineRule="auto"/>
        <w:ind w:left="0" w:leftChars="0" w:firstLine="442" w:firstLineChars="200"/>
        <w:outlineLvl w:val="0"/>
        <w:rPr>
          <w:rFonts w:hint="eastAsia" w:ascii="宋体" w:hAnsi="宋体" w:eastAsia="宋体" w:cs="宋体"/>
          <w:bCs/>
          <w:sz w:val="24"/>
        </w:rPr>
      </w:pPr>
      <w:bookmarkStart w:id="155" w:name="_Toc4501"/>
      <w:bookmarkStart w:id="156" w:name="_Toc9800"/>
      <w:bookmarkStart w:id="157" w:name="_Toc30020"/>
      <w:bookmarkStart w:id="158" w:name="_Toc22308"/>
      <w:r>
        <w:rPr>
          <w:rFonts w:hint="eastAsia" w:ascii="宋体" w:hAnsi="宋体" w:eastAsia="宋体" w:cs="宋体"/>
          <w:bCs/>
          <w:sz w:val="24"/>
        </w:rPr>
        <w:t>10.  报价</w:t>
      </w:r>
      <w:bookmarkEnd w:id="155"/>
      <w:bookmarkEnd w:id="156"/>
      <w:bookmarkEnd w:id="157"/>
      <w:bookmarkEnd w:id="158"/>
    </w:p>
    <w:p>
      <w:pPr>
        <w:pStyle w:val="12"/>
        <w:spacing w:line="360" w:lineRule="auto"/>
        <w:ind w:left="0" w:leftChars="0" w:firstLine="442" w:firstLineChars="200"/>
        <w:outlineLvl w:val="0"/>
        <w:rPr>
          <w:rFonts w:hint="eastAsia" w:ascii="宋体" w:hAnsi="宋体" w:eastAsia="宋体" w:cs="宋体"/>
          <w:bCs/>
          <w:sz w:val="24"/>
        </w:rPr>
      </w:pPr>
      <w:bookmarkStart w:id="159" w:name="_Toc18727"/>
      <w:bookmarkStart w:id="160" w:name="_Toc15978"/>
      <w:bookmarkStart w:id="161" w:name="_Toc25745"/>
      <w:bookmarkStart w:id="162" w:name="_Toc23035"/>
      <w:r>
        <w:rPr>
          <w:rFonts w:hint="eastAsia" w:ascii="宋体" w:hAnsi="宋体" w:eastAsia="宋体" w:cs="宋体"/>
          <w:bCs/>
          <w:sz w:val="24"/>
        </w:rPr>
        <w:t>10.1投标企业应当根据招标文件要求和范围，以人民币报价，以元为单位，保留小数点后两位。</w:t>
      </w:r>
      <w:bookmarkEnd w:id="159"/>
      <w:bookmarkEnd w:id="160"/>
    </w:p>
    <w:p>
      <w:pPr>
        <w:pStyle w:val="12"/>
        <w:spacing w:line="360" w:lineRule="auto"/>
        <w:ind w:left="0" w:leftChars="0" w:firstLine="442" w:firstLineChars="200"/>
        <w:outlineLvl w:val="0"/>
        <w:rPr>
          <w:rFonts w:hint="eastAsia" w:ascii="宋体" w:hAnsi="宋体" w:eastAsia="宋体" w:cs="宋体"/>
          <w:bCs/>
          <w:sz w:val="24"/>
          <w:szCs w:val="22"/>
        </w:rPr>
      </w:pPr>
      <w:bookmarkStart w:id="163" w:name="_Toc18934"/>
      <w:bookmarkStart w:id="164" w:name="_Toc17439"/>
      <w:r>
        <w:rPr>
          <w:rFonts w:hint="eastAsia" w:ascii="宋体" w:hAnsi="宋体" w:eastAsia="宋体" w:cs="宋体"/>
          <w:bCs/>
          <w:sz w:val="24"/>
        </w:rPr>
        <w:t>10.2本次报价为一次性报价</w:t>
      </w:r>
      <w:r>
        <w:rPr>
          <w:rFonts w:hint="eastAsia" w:ascii="宋体" w:hAnsi="宋体" w:eastAsia="宋体" w:cs="宋体"/>
          <w:bCs/>
          <w:sz w:val="24"/>
          <w:szCs w:val="22"/>
        </w:rPr>
        <w:t>。</w:t>
      </w:r>
      <w:bookmarkEnd w:id="163"/>
      <w:bookmarkEnd w:id="164"/>
    </w:p>
    <w:bookmarkEnd w:id="161"/>
    <w:bookmarkEnd w:id="162"/>
    <w:p>
      <w:pPr>
        <w:pStyle w:val="12"/>
        <w:spacing w:line="360" w:lineRule="auto"/>
        <w:ind w:left="0" w:leftChars="0" w:firstLine="442" w:firstLineChars="200"/>
        <w:outlineLvl w:val="0"/>
        <w:rPr>
          <w:rFonts w:hint="eastAsia" w:ascii="宋体" w:hAnsi="宋体" w:eastAsia="宋体" w:cs="宋体"/>
          <w:bCs/>
          <w:sz w:val="24"/>
        </w:rPr>
      </w:pPr>
      <w:bookmarkStart w:id="165" w:name="_Toc10555"/>
      <w:bookmarkStart w:id="166" w:name="_Toc14162"/>
      <w:bookmarkStart w:id="167" w:name="_Toc2299"/>
      <w:bookmarkStart w:id="168" w:name="_Toc20821"/>
      <w:r>
        <w:rPr>
          <w:rFonts w:hint="eastAsia" w:ascii="宋体" w:hAnsi="宋体" w:eastAsia="宋体" w:cs="宋体"/>
          <w:bCs/>
          <w:sz w:val="24"/>
        </w:rPr>
        <w:t>10.3投标企业对报价若有说明应在开标一览表备注处注明。招标代理机构不接受可选择的投标方案和价格。任何有选择的或可调整的投标方案和价格将被视为非响应性报价而被拒绝。</w:t>
      </w:r>
      <w:bookmarkEnd w:id="165"/>
      <w:bookmarkEnd w:id="166"/>
      <w:bookmarkEnd w:id="167"/>
      <w:bookmarkEnd w:id="168"/>
    </w:p>
    <w:p>
      <w:pPr>
        <w:pStyle w:val="12"/>
        <w:spacing w:line="360" w:lineRule="auto"/>
        <w:ind w:left="0" w:leftChars="0" w:firstLine="442" w:firstLineChars="200"/>
        <w:outlineLvl w:val="0"/>
        <w:rPr>
          <w:rFonts w:hint="eastAsia" w:ascii="宋体" w:hAnsi="宋体" w:eastAsia="宋体" w:cs="宋体"/>
          <w:bCs/>
          <w:sz w:val="24"/>
        </w:rPr>
      </w:pPr>
      <w:bookmarkStart w:id="169" w:name="_Toc17894"/>
      <w:bookmarkStart w:id="170" w:name="_Toc27681"/>
      <w:bookmarkStart w:id="171" w:name="_Toc18779"/>
      <w:bookmarkStart w:id="172" w:name="_Toc12371"/>
      <w:r>
        <w:rPr>
          <w:rFonts w:hint="eastAsia" w:ascii="宋体" w:hAnsi="宋体" w:eastAsia="宋体" w:cs="宋体"/>
          <w:bCs/>
          <w:sz w:val="24"/>
        </w:rPr>
        <w:t>10.4 报价在合同执行过程中是固定不变的，不得以任何理由予以变更。</w:t>
      </w:r>
      <w:bookmarkEnd w:id="169"/>
      <w:bookmarkEnd w:id="170"/>
      <w:bookmarkEnd w:id="171"/>
      <w:bookmarkEnd w:id="172"/>
    </w:p>
    <w:p>
      <w:pPr>
        <w:pStyle w:val="12"/>
        <w:spacing w:line="360" w:lineRule="auto"/>
        <w:ind w:left="0" w:leftChars="0" w:firstLine="442" w:firstLineChars="200"/>
        <w:outlineLvl w:val="0"/>
        <w:rPr>
          <w:rFonts w:hint="eastAsia" w:ascii="宋体" w:hAnsi="宋体" w:eastAsia="宋体" w:cs="宋体"/>
          <w:bCs/>
          <w:sz w:val="24"/>
        </w:rPr>
      </w:pPr>
      <w:bookmarkStart w:id="173" w:name="_Toc28168"/>
      <w:bookmarkStart w:id="174" w:name="_Toc618"/>
      <w:bookmarkStart w:id="175" w:name="_Toc1109"/>
      <w:bookmarkStart w:id="176" w:name="_Toc4291"/>
      <w:r>
        <w:rPr>
          <w:rFonts w:hint="eastAsia" w:ascii="宋体" w:hAnsi="宋体" w:eastAsia="宋体" w:cs="宋体"/>
          <w:bCs/>
          <w:sz w:val="24"/>
        </w:rPr>
        <w:t>10.5投标企业免费提供的项目，应先填写该项目的实际价格，并注明免费。此项不计入总报价。</w:t>
      </w:r>
      <w:bookmarkEnd w:id="173"/>
      <w:bookmarkEnd w:id="174"/>
      <w:bookmarkEnd w:id="175"/>
      <w:bookmarkEnd w:id="176"/>
    </w:p>
    <w:p>
      <w:pPr>
        <w:pStyle w:val="12"/>
        <w:spacing w:line="360" w:lineRule="auto"/>
        <w:ind w:left="0" w:leftChars="0" w:firstLine="442" w:firstLineChars="200"/>
        <w:outlineLvl w:val="0"/>
        <w:rPr>
          <w:rFonts w:hint="eastAsia" w:ascii="宋体" w:hAnsi="宋体" w:eastAsia="宋体" w:cs="宋体"/>
          <w:bCs/>
          <w:sz w:val="24"/>
        </w:rPr>
      </w:pPr>
      <w:bookmarkStart w:id="177" w:name="_Toc5332"/>
      <w:bookmarkStart w:id="178" w:name="_Toc4168"/>
      <w:bookmarkStart w:id="179" w:name="_Toc4050"/>
      <w:bookmarkStart w:id="180" w:name="_Toc8455"/>
      <w:r>
        <w:rPr>
          <w:rFonts w:hint="eastAsia" w:ascii="宋体" w:hAnsi="宋体" w:eastAsia="宋体" w:cs="宋体"/>
          <w:bCs/>
          <w:sz w:val="24"/>
        </w:rPr>
        <w:t>10.6其他</w:t>
      </w:r>
      <w:bookmarkEnd w:id="177"/>
      <w:bookmarkEnd w:id="178"/>
      <w:bookmarkEnd w:id="179"/>
      <w:bookmarkEnd w:id="180"/>
    </w:p>
    <w:p>
      <w:pPr>
        <w:pStyle w:val="12"/>
        <w:spacing w:line="360" w:lineRule="auto"/>
        <w:ind w:left="0" w:leftChars="0" w:firstLine="442" w:firstLineChars="200"/>
        <w:outlineLvl w:val="0"/>
        <w:rPr>
          <w:rFonts w:hint="eastAsia" w:ascii="宋体" w:hAnsi="宋体" w:eastAsia="宋体" w:cs="宋体"/>
          <w:bCs/>
          <w:sz w:val="24"/>
        </w:rPr>
      </w:pPr>
      <w:bookmarkStart w:id="181" w:name="_Toc28872"/>
      <w:bookmarkStart w:id="182" w:name="_Toc25149"/>
      <w:bookmarkStart w:id="183" w:name="_Toc24498"/>
      <w:bookmarkStart w:id="184" w:name="_Toc28480"/>
      <w:r>
        <w:rPr>
          <w:rFonts w:hint="eastAsia" w:ascii="宋体" w:hAnsi="宋体" w:eastAsia="宋体" w:cs="宋体"/>
          <w:bCs/>
          <w:sz w:val="24"/>
        </w:rPr>
        <w:t>11.  投标文件装订与编写</w:t>
      </w:r>
      <w:bookmarkEnd w:id="181"/>
      <w:bookmarkEnd w:id="182"/>
      <w:bookmarkEnd w:id="183"/>
      <w:bookmarkEnd w:id="184"/>
    </w:p>
    <w:p>
      <w:pPr>
        <w:pStyle w:val="12"/>
        <w:spacing w:line="360" w:lineRule="auto"/>
        <w:ind w:left="98" w:leftChars="0" w:firstLine="442" w:firstLineChars="200"/>
        <w:outlineLvl w:val="0"/>
        <w:rPr>
          <w:rFonts w:hint="eastAsia" w:ascii="宋体" w:hAnsi="宋体" w:eastAsia="宋体" w:cs="宋体"/>
          <w:bCs/>
          <w:sz w:val="24"/>
        </w:rPr>
      </w:pPr>
      <w:bookmarkStart w:id="185" w:name="_Toc4276"/>
      <w:bookmarkStart w:id="186" w:name="_Toc17826"/>
      <w:bookmarkStart w:id="187" w:name="_Toc2239"/>
      <w:bookmarkStart w:id="188" w:name="_Toc8723"/>
      <w:bookmarkStart w:id="189" w:name="_Toc10509"/>
      <w:bookmarkStart w:id="190" w:name="_Toc8088"/>
      <w:bookmarkStart w:id="191" w:name="_Toc4152"/>
      <w:bookmarkStart w:id="192" w:name="_Toc32188"/>
      <w:bookmarkStart w:id="193" w:name="_Toc31205"/>
      <w:bookmarkStart w:id="194" w:name="_Toc4442"/>
      <w:r>
        <w:rPr>
          <w:rFonts w:hint="eastAsia" w:ascii="宋体" w:hAnsi="宋体" w:eastAsia="宋体" w:cs="宋体"/>
          <w:bCs/>
          <w:sz w:val="24"/>
        </w:rPr>
        <w:t>11.1投标企业必须将投标文件（壹份正本、肆份副本）中的有关文件按上述顺序排列装订成册，并在首页编制“投标文件目录”，本项目要求胶装，本次采购拒绝接受未胶装的投标文件。</w:t>
      </w:r>
      <w:bookmarkEnd w:id="185"/>
      <w:bookmarkEnd w:id="186"/>
      <w:bookmarkEnd w:id="187"/>
      <w:bookmarkEnd w:id="188"/>
    </w:p>
    <w:p>
      <w:pPr>
        <w:pStyle w:val="12"/>
        <w:spacing w:line="360" w:lineRule="auto"/>
        <w:ind w:left="98" w:leftChars="0" w:firstLine="442" w:firstLineChars="200"/>
        <w:outlineLvl w:val="0"/>
        <w:rPr>
          <w:rFonts w:hint="eastAsia" w:ascii="宋体" w:hAnsi="宋体" w:eastAsia="宋体" w:cs="宋体"/>
          <w:bCs/>
          <w:sz w:val="24"/>
        </w:rPr>
      </w:pPr>
      <w:bookmarkStart w:id="195" w:name="_Toc1053"/>
      <w:bookmarkStart w:id="196" w:name="_Toc23593"/>
      <w:r>
        <w:rPr>
          <w:rFonts w:hint="eastAsia" w:ascii="宋体" w:hAnsi="宋体" w:eastAsia="宋体" w:cs="宋体"/>
          <w:bCs/>
          <w:sz w:val="24"/>
        </w:rPr>
        <w:t>11.2 投标企业应准备伍份投标文件，壹份正本和肆份副本。在每一份投标文件上要注明“正本”或“副本”字样。投标企业应保证投标文件正本与副本的内容严格一致，如果正本与副本不一致，以正本为准。</w:t>
      </w:r>
      <w:bookmarkEnd w:id="189"/>
      <w:bookmarkEnd w:id="190"/>
      <w:bookmarkEnd w:id="195"/>
      <w:bookmarkEnd w:id="196"/>
    </w:p>
    <w:p>
      <w:pPr>
        <w:pStyle w:val="12"/>
        <w:spacing w:line="360" w:lineRule="auto"/>
        <w:ind w:left="98" w:leftChars="0" w:firstLine="442" w:firstLineChars="200"/>
        <w:outlineLvl w:val="0"/>
        <w:rPr>
          <w:rFonts w:hint="eastAsia" w:ascii="宋体" w:hAnsi="宋体" w:eastAsia="宋体" w:cs="宋体"/>
          <w:bCs/>
          <w:sz w:val="24"/>
        </w:rPr>
      </w:pPr>
      <w:bookmarkStart w:id="197" w:name="_Toc32094"/>
      <w:bookmarkStart w:id="198" w:name="_Toc5491"/>
      <w:bookmarkStart w:id="199" w:name="_Toc11189"/>
      <w:bookmarkStart w:id="200" w:name="_Toc26688"/>
      <w:r>
        <w:rPr>
          <w:rFonts w:hint="eastAsia" w:ascii="宋体" w:hAnsi="宋体" w:eastAsia="宋体" w:cs="宋体"/>
          <w:bCs/>
          <w:sz w:val="24"/>
        </w:rPr>
        <w:t>11.3 投标文件正本和副本用A4幅面的纸张打印。</w:t>
      </w:r>
      <w:bookmarkEnd w:id="197"/>
      <w:bookmarkEnd w:id="198"/>
      <w:bookmarkEnd w:id="199"/>
      <w:bookmarkEnd w:id="200"/>
    </w:p>
    <w:p>
      <w:pPr>
        <w:pStyle w:val="12"/>
        <w:spacing w:line="360" w:lineRule="auto"/>
        <w:ind w:left="98" w:leftChars="0" w:firstLine="442" w:firstLineChars="200"/>
        <w:outlineLvl w:val="0"/>
        <w:rPr>
          <w:rFonts w:hint="eastAsia" w:ascii="宋体" w:hAnsi="宋体" w:eastAsia="宋体" w:cs="宋体"/>
          <w:bCs/>
          <w:sz w:val="24"/>
        </w:rPr>
      </w:pPr>
      <w:bookmarkStart w:id="201" w:name="_Toc14364"/>
      <w:bookmarkStart w:id="202" w:name="_Toc29609"/>
      <w:bookmarkStart w:id="203" w:name="_Toc19608"/>
      <w:bookmarkStart w:id="204" w:name="_Toc8891"/>
      <w:r>
        <w:rPr>
          <w:rFonts w:hint="eastAsia" w:ascii="宋体" w:hAnsi="宋体" w:eastAsia="宋体" w:cs="宋体"/>
          <w:bCs/>
          <w:sz w:val="24"/>
        </w:rPr>
        <w:t>11.4 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报价有可能被拒绝。</w:t>
      </w:r>
      <w:bookmarkEnd w:id="201"/>
      <w:bookmarkEnd w:id="202"/>
      <w:bookmarkEnd w:id="203"/>
      <w:bookmarkEnd w:id="204"/>
    </w:p>
    <w:p>
      <w:pPr>
        <w:pStyle w:val="12"/>
        <w:spacing w:line="360" w:lineRule="auto"/>
        <w:ind w:left="98" w:leftChars="0" w:firstLine="442" w:firstLineChars="200"/>
        <w:outlineLvl w:val="0"/>
        <w:rPr>
          <w:rFonts w:hint="eastAsia" w:ascii="宋体" w:hAnsi="宋体" w:eastAsia="宋体" w:cs="宋体"/>
          <w:bCs/>
          <w:sz w:val="24"/>
        </w:rPr>
      </w:pPr>
      <w:bookmarkStart w:id="205" w:name="_Toc17848"/>
      <w:bookmarkStart w:id="206" w:name="_Toc24713"/>
      <w:bookmarkStart w:id="207" w:name="_Toc8844"/>
      <w:bookmarkStart w:id="208" w:name="_Toc21798"/>
      <w:r>
        <w:rPr>
          <w:rFonts w:hint="eastAsia" w:ascii="宋体" w:hAnsi="宋体" w:eastAsia="宋体" w:cs="宋体"/>
          <w:bCs/>
          <w:sz w:val="24"/>
        </w:rPr>
        <w:t>11.5 因投标文件字迹潦草、模糊或表达不清所引起的不利后果由投标企业承担。</w:t>
      </w:r>
      <w:bookmarkEnd w:id="205"/>
      <w:bookmarkEnd w:id="206"/>
      <w:bookmarkEnd w:id="207"/>
      <w:bookmarkEnd w:id="208"/>
    </w:p>
    <w:p>
      <w:pPr>
        <w:pStyle w:val="12"/>
        <w:spacing w:line="360" w:lineRule="auto"/>
        <w:ind w:left="0" w:leftChars="0" w:firstLine="442" w:firstLineChars="200"/>
        <w:outlineLvl w:val="0"/>
        <w:rPr>
          <w:rFonts w:hint="eastAsia" w:ascii="宋体" w:hAnsi="宋体" w:eastAsia="宋体" w:cs="宋体"/>
          <w:bCs/>
          <w:sz w:val="24"/>
        </w:rPr>
      </w:pPr>
      <w:r>
        <w:rPr>
          <w:rFonts w:hint="eastAsia" w:ascii="宋体" w:hAnsi="宋体" w:eastAsia="宋体" w:cs="宋体"/>
          <w:bCs/>
          <w:sz w:val="24"/>
        </w:rPr>
        <w:t>12.  投标文件签署</w:t>
      </w:r>
      <w:bookmarkEnd w:id="191"/>
      <w:bookmarkEnd w:id="192"/>
      <w:bookmarkEnd w:id="193"/>
      <w:bookmarkEnd w:id="194"/>
    </w:p>
    <w:p>
      <w:pPr>
        <w:pStyle w:val="12"/>
        <w:spacing w:line="360" w:lineRule="auto"/>
        <w:ind w:left="98" w:leftChars="0" w:firstLine="442" w:firstLineChars="200"/>
        <w:outlineLvl w:val="0"/>
        <w:rPr>
          <w:rFonts w:hint="eastAsia" w:ascii="宋体" w:hAnsi="宋体" w:eastAsia="宋体" w:cs="宋体"/>
          <w:bCs/>
          <w:sz w:val="24"/>
        </w:rPr>
      </w:pPr>
      <w:bookmarkStart w:id="209" w:name="_Toc4166"/>
      <w:bookmarkStart w:id="210" w:name="_Toc25362"/>
      <w:bookmarkStart w:id="211" w:name="_Toc1964"/>
      <w:bookmarkStart w:id="212" w:name="_Toc14143"/>
      <w:bookmarkStart w:id="213" w:name="_Toc21768"/>
      <w:bookmarkStart w:id="214" w:name="_Toc24991"/>
      <w:bookmarkStart w:id="215" w:name="_Toc22651"/>
      <w:bookmarkStart w:id="216" w:name="_Toc29083"/>
      <w:r>
        <w:rPr>
          <w:rFonts w:hint="eastAsia" w:ascii="宋体" w:hAnsi="宋体" w:eastAsia="宋体" w:cs="宋体"/>
          <w:bCs/>
          <w:sz w:val="24"/>
        </w:rPr>
        <w:t>12.1法定代表人或授权代表必须按招标文件的规定在投标文件（正本、副本及各附件）。如投标企业对投标文件进行了修改，则须由投标企业的法定代表人或授权代表在修改的每一页上签字并加盖公章。</w:t>
      </w:r>
      <w:bookmarkEnd w:id="209"/>
      <w:bookmarkEnd w:id="210"/>
      <w:bookmarkEnd w:id="211"/>
      <w:bookmarkEnd w:id="212"/>
      <w:bookmarkStart w:id="217" w:name="_Toc24152"/>
      <w:bookmarkStart w:id="218" w:name="_Toc783"/>
      <w:bookmarkStart w:id="219" w:name="_Toc24289"/>
      <w:bookmarkStart w:id="220" w:name="_Toc17310"/>
    </w:p>
    <w:p>
      <w:pPr>
        <w:pStyle w:val="12"/>
        <w:spacing w:line="360" w:lineRule="auto"/>
        <w:ind w:left="98" w:leftChars="0" w:firstLine="442" w:firstLineChars="200"/>
        <w:outlineLvl w:val="0"/>
        <w:rPr>
          <w:rFonts w:hint="eastAsia" w:ascii="宋体" w:hAnsi="宋体" w:eastAsia="宋体" w:cs="宋体"/>
          <w:bCs/>
          <w:sz w:val="24"/>
        </w:rPr>
      </w:pPr>
      <w:r>
        <w:rPr>
          <w:rFonts w:hint="eastAsia" w:ascii="宋体" w:hAnsi="宋体" w:eastAsia="宋体" w:cs="宋体"/>
          <w:bCs/>
          <w:sz w:val="24"/>
        </w:rPr>
        <w:t>12.2 任何行间插字、涂改和增删，必须由投标企业的法定代表人或授权代表签字并加盖公章后才有效。</w:t>
      </w:r>
      <w:bookmarkEnd w:id="217"/>
      <w:bookmarkEnd w:id="218"/>
      <w:bookmarkEnd w:id="219"/>
      <w:bookmarkEnd w:id="220"/>
    </w:p>
    <w:p>
      <w:pPr>
        <w:pStyle w:val="12"/>
        <w:spacing w:line="360" w:lineRule="auto"/>
        <w:ind w:left="0" w:leftChars="0" w:firstLine="442" w:firstLineChars="200"/>
        <w:outlineLvl w:val="0"/>
        <w:rPr>
          <w:rFonts w:hint="eastAsia" w:ascii="宋体" w:hAnsi="宋体" w:eastAsia="宋体" w:cs="宋体"/>
          <w:bCs/>
          <w:sz w:val="24"/>
        </w:rPr>
      </w:pPr>
      <w:r>
        <w:rPr>
          <w:rFonts w:hint="eastAsia" w:ascii="宋体" w:hAnsi="宋体" w:eastAsia="宋体" w:cs="宋体"/>
          <w:bCs/>
          <w:sz w:val="24"/>
        </w:rPr>
        <w:t>13.  投标文件密封和标记</w:t>
      </w:r>
      <w:bookmarkEnd w:id="213"/>
      <w:bookmarkEnd w:id="214"/>
      <w:bookmarkEnd w:id="215"/>
      <w:bookmarkEnd w:id="216"/>
    </w:p>
    <w:p>
      <w:pPr>
        <w:pStyle w:val="12"/>
        <w:spacing w:line="360" w:lineRule="auto"/>
        <w:ind w:left="98" w:leftChars="0" w:firstLine="442" w:firstLineChars="200"/>
        <w:outlineLvl w:val="0"/>
        <w:rPr>
          <w:rFonts w:hint="eastAsia" w:ascii="宋体" w:hAnsi="宋体" w:eastAsia="宋体" w:cs="宋体"/>
          <w:bCs/>
          <w:sz w:val="24"/>
        </w:rPr>
      </w:pPr>
      <w:bookmarkStart w:id="221" w:name="_Toc25191"/>
      <w:bookmarkStart w:id="222" w:name="_Toc25966"/>
      <w:bookmarkStart w:id="223" w:name="_Toc28902"/>
      <w:bookmarkStart w:id="224" w:name="_Toc9083"/>
      <w:bookmarkStart w:id="225" w:name="_Toc4070"/>
      <w:bookmarkStart w:id="226" w:name="_Toc2177"/>
      <w:bookmarkStart w:id="227" w:name="_Toc16235"/>
      <w:bookmarkStart w:id="228" w:name="_Toc5158"/>
      <w:r>
        <w:rPr>
          <w:rFonts w:hint="eastAsia" w:ascii="宋体" w:hAnsi="宋体" w:eastAsia="宋体" w:cs="宋体"/>
          <w:bCs/>
          <w:sz w:val="24"/>
        </w:rPr>
        <w:t>13.1 投标企业应将投标文件正、副本密封，并在封面明显处注明以下内容（密封格式见附件九）：</w:t>
      </w:r>
      <w:bookmarkEnd w:id="221"/>
      <w:bookmarkEnd w:id="222"/>
      <w:bookmarkEnd w:id="223"/>
      <w:bookmarkEnd w:id="224"/>
    </w:p>
    <w:p>
      <w:pPr>
        <w:pStyle w:val="12"/>
        <w:spacing w:line="360" w:lineRule="auto"/>
        <w:ind w:left="98" w:leftChars="0" w:firstLine="442" w:firstLineChars="200"/>
        <w:outlineLvl w:val="0"/>
        <w:rPr>
          <w:rFonts w:hint="eastAsia" w:ascii="宋体" w:hAnsi="宋体" w:eastAsia="宋体" w:cs="宋体"/>
          <w:bCs/>
          <w:sz w:val="24"/>
        </w:rPr>
      </w:pPr>
      <w:bookmarkStart w:id="229" w:name="_Toc7290"/>
      <w:bookmarkStart w:id="230" w:name="_Toc14227"/>
      <w:bookmarkStart w:id="231" w:name="_Toc9017"/>
      <w:bookmarkStart w:id="232" w:name="_Toc26316"/>
      <w:r>
        <w:rPr>
          <w:rFonts w:hint="eastAsia" w:ascii="宋体" w:hAnsi="宋体" w:eastAsia="宋体" w:cs="宋体"/>
          <w:bCs/>
          <w:sz w:val="24"/>
        </w:rPr>
        <w:t>1) 项目编号、项目名称、包号；</w:t>
      </w:r>
      <w:bookmarkEnd w:id="229"/>
      <w:bookmarkEnd w:id="230"/>
      <w:bookmarkEnd w:id="231"/>
      <w:bookmarkEnd w:id="232"/>
    </w:p>
    <w:p>
      <w:pPr>
        <w:pStyle w:val="12"/>
        <w:spacing w:line="360" w:lineRule="auto"/>
        <w:ind w:left="98" w:leftChars="0" w:firstLine="442" w:firstLineChars="200"/>
        <w:outlineLvl w:val="0"/>
        <w:rPr>
          <w:rFonts w:hint="eastAsia" w:ascii="宋体" w:hAnsi="宋体" w:eastAsia="宋体" w:cs="宋体"/>
          <w:bCs/>
          <w:sz w:val="24"/>
        </w:rPr>
      </w:pPr>
      <w:bookmarkStart w:id="233" w:name="_Toc23325"/>
      <w:bookmarkStart w:id="234" w:name="_Toc13552"/>
      <w:bookmarkStart w:id="235" w:name="_Toc12329"/>
      <w:bookmarkStart w:id="236" w:name="_Toc15539"/>
      <w:r>
        <w:rPr>
          <w:rFonts w:hint="eastAsia" w:ascii="宋体" w:hAnsi="宋体" w:eastAsia="宋体" w:cs="宋体"/>
          <w:bCs/>
          <w:sz w:val="24"/>
        </w:rPr>
        <w:t>2) 投标企业名称（加盖公章）、地址、邮编、电话、传真</w:t>
      </w:r>
      <w:bookmarkEnd w:id="233"/>
      <w:bookmarkEnd w:id="234"/>
      <w:bookmarkEnd w:id="235"/>
      <w:bookmarkEnd w:id="236"/>
    </w:p>
    <w:p>
      <w:pPr>
        <w:pStyle w:val="12"/>
        <w:spacing w:line="360" w:lineRule="auto"/>
        <w:ind w:left="98" w:leftChars="0" w:firstLine="442" w:firstLineChars="200"/>
        <w:outlineLvl w:val="0"/>
        <w:rPr>
          <w:rFonts w:hint="eastAsia" w:ascii="宋体" w:hAnsi="宋体" w:eastAsia="宋体" w:cs="宋体"/>
          <w:bCs/>
          <w:sz w:val="24"/>
        </w:rPr>
      </w:pPr>
      <w:bookmarkStart w:id="237" w:name="_Toc10266"/>
      <w:bookmarkStart w:id="238" w:name="_Toc1307"/>
      <w:r>
        <w:rPr>
          <w:rFonts w:hint="eastAsia" w:ascii="宋体" w:hAnsi="宋体" w:eastAsia="宋体" w:cs="宋体"/>
          <w:bCs/>
          <w:sz w:val="24"/>
        </w:rPr>
        <w:t xml:space="preserve">13.2 </w:t>
      </w:r>
      <w:bookmarkEnd w:id="237"/>
      <w:bookmarkEnd w:id="238"/>
      <w:bookmarkStart w:id="239" w:name="_Toc27332"/>
      <w:bookmarkStart w:id="240" w:name="_Toc18886"/>
      <w:bookmarkStart w:id="241" w:name="_Toc31522"/>
      <w:bookmarkStart w:id="242" w:name="_Toc18051"/>
      <w:r>
        <w:rPr>
          <w:rFonts w:hint="eastAsia" w:ascii="宋体" w:hAnsi="宋体" w:eastAsia="宋体" w:cs="宋体"/>
          <w:bCs/>
          <w:sz w:val="24"/>
        </w:rPr>
        <w:t>公开唱标，开标现场进行唱标，由投标企业签字确认。</w:t>
      </w:r>
    </w:p>
    <w:bookmarkEnd w:id="239"/>
    <w:bookmarkEnd w:id="240"/>
    <w:bookmarkEnd w:id="241"/>
    <w:bookmarkEnd w:id="242"/>
    <w:p>
      <w:pPr>
        <w:pStyle w:val="12"/>
        <w:spacing w:line="360" w:lineRule="auto"/>
        <w:ind w:left="98" w:leftChars="0" w:firstLine="442" w:firstLineChars="200"/>
        <w:outlineLvl w:val="0"/>
        <w:rPr>
          <w:rFonts w:hint="eastAsia" w:ascii="宋体" w:hAnsi="宋体" w:eastAsia="宋体" w:cs="宋体"/>
          <w:bCs/>
          <w:sz w:val="24"/>
        </w:rPr>
      </w:pPr>
      <w:bookmarkStart w:id="243" w:name="_Toc28642"/>
      <w:bookmarkStart w:id="244" w:name="_Toc31742"/>
      <w:bookmarkStart w:id="245" w:name="_Toc25375"/>
      <w:bookmarkStart w:id="246" w:name="_Toc25437"/>
      <w:r>
        <w:rPr>
          <w:rFonts w:hint="eastAsia" w:ascii="宋体" w:hAnsi="宋体" w:eastAsia="宋体" w:cs="宋体"/>
          <w:bCs/>
          <w:sz w:val="24"/>
        </w:rPr>
        <w:t>13.3 如果投标企业未按上述要求对投标文件密封及加写标记，招标代理机构对投标企业提前启封概不负责。对由此造成提前开封的投标文件，招标代理机构有权予以拒绝，并退回投标企业。</w:t>
      </w:r>
      <w:bookmarkEnd w:id="243"/>
      <w:bookmarkEnd w:id="244"/>
      <w:bookmarkEnd w:id="245"/>
      <w:bookmarkEnd w:id="246"/>
    </w:p>
    <w:p>
      <w:pPr>
        <w:adjustRightInd w:val="0"/>
        <w:snapToGrid w:val="0"/>
        <w:spacing w:line="360" w:lineRule="auto"/>
        <w:ind w:firstLine="442" w:firstLineChars="200"/>
        <w:rPr>
          <w:rFonts w:hint="eastAsia" w:ascii="宋体" w:hAnsi="宋体" w:eastAsia="宋体" w:cs="宋体"/>
          <w:bCs/>
          <w:sz w:val="24"/>
        </w:rPr>
      </w:pPr>
      <w:r>
        <w:rPr>
          <w:rFonts w:hint="eastAsia" w:ascii="宋体" w:hAnsi="宋体" w:eastAsia="宋体" w:cs="宋体"/>
          <w:bCs/>
          <w:sz w:val="24"/>
        </w:rPr>
        <w:t xml:space="preserve">14.  </w:t>
      </w:r>
      <w:bookmarkEnd w:id="225"/>
      <w:r>
        <w:rPr>
          <w:rFonts w:hint="eastAsia" w:ascii="宋体" w:hAnsi="宋体" w:eastAsia="宋体" w:cs="宋体"/>
          <w:bCs/>
          <w:sz w:val="24"/>
        </w:rPr>
        <w:t>投标保证金</w:t>
      </w:r>
      <w:bookmarkEnd w:id="226"/>
      <w:bookmarkEnd w:id="227"/>
      <w:bookmarkEnd w:id="228"/>
      <w:bookmarkStart w:id="247" w:name="_Toc25294"/>
      <w:bookmarkStart w:id="248" w:name="_Toc31090"/>
      <w:r>
        <w:rPr>
          <w:rFonts w:hint="eastAsia" w:ascii="宋体" w:hAnsi="宋体" w:eastAsia="宋体" w:cs="宋体"/>
          <w:bCs/>
          <w:sz w:val="24"/>
        </w:rPr>
        <w:t>：</w:t>
      </w:r>
    </w:p>
    <w:p>
      <w:pPr>
        <w:adjustRightInd w:val="0"/>
        <w:snapToGrid w:val="0"/>
        <w:spacing w:line="360" w:lineRule="auto"/>
        <w:ind w:firstLine="442" w:firstLineChars="200"/>
        <w:rPr>
          <w:rFonts w:hint="eastAsia" w:ascii="宋体" w:hAnsi="宋体" w:eastAsia="宋体" w:cs="宋体"/>
          <w:bCs/>
          <w:sz w:val="24"/>
        </w:rPr>
      </w:pPr>
      <w:r>
        <w:rPr>
          <w:rFonts w:hint="eastAsia" w:ascii="宋体" w:hAnsi="宋体" w:eastAsia="宋体" w:cs="宋体"/>
          <w:sz w:val="24"/>
        </w:rPr>
        <w:t>1</w:t>
      </w:r>
      <w:r>
        <w:rPr>
          <w:rFonts w:hint="eastAsia" w:ascii="宋体" w:hAnsi="宋体" w:eastAsia="宋体" w:cs="宋体"/>
          <w:bCs/>
          <w:sz w:val="24"/>
        </w:rPr>
        <w:t>4.1如投标企业前来参加投标，须在投标截止时间前以人民币提交一笔不少于本须知前附表所规定数额的投标保证金，并作为其投标的一部分。保证金应在投标截止时间前提交。未按要求递交投标保证金或出具相关凭据的响应无效。投标保证金可以是转账支票或银行转账或银行汇票方式。招标人可根据本须知第14.4条规定的条件不予退还</w:t>
      </w:r>
      <w:r>
        <w:rPr>
          <w:rFonts w:hint="eastAsia" w:ascii="宋体" w:hAnsi="宋体" w:eastAsia="宋体" w:cs="宋体"/>
          <w:bCs/>
          <w:sz w:val="24"/>
          <w:lang w:eastAsia="zh-CN"/>
        </w:rPr>
        <w:t>投标保证金</w:t>
      </w:r>
      <w:r>
        <w:rPr>
          <w:rFonts w:hint="eastAsia" w:ascii="宋体" w:hAnsi="宋体" w:eastAsia="宋体" w:cs="宋体"/>
          <w:bCs/>
          <w:sz w:val="24"/>
        </w:rPr>
        <w:t>。</w:t>
      </w:r>
    </w:p>
    <w:p>
      <w:pPr>
        <w:adjustRightInd w:val="0"/>
        <w:snapToGrid w:val="0"/>
        <w:spacing w:line="360" w:lineRule="auto"/>
        <w:ind w:firstLine="442" w:firstLineChars="200"/>
        <w:rPr>
          <w:rFonts w:hint="eastAsia" w:ascii="宋体" w:hAnsi="宋体" w:eastAsia="宋体" w:cs="宋体"/>
          <w:bCs/>
          <w:sz w:val="24"/>
        </w:rPr>
      </w:pPr>
      <w:r>
        <w:rPr>
          <w:rFonts w:hint="eastAsia" w:ascii="宋体" w:hAnsi="宋体" w:eastAsia="宋体" w:cs="宋体"/>
          <w:bCs/>
          <w:sz w:val="24"/>
        </w:rPr>
        <w:t>14.2未中标投标企业的投标保证金在中标通知书发出后五个工作日内退还。</w:t>
      </w:r>
    </w:p>
    <w:p>
      <w:pPr>
        <w:adjustRightInd w:val="0"/>
        <w:snapToGrid w:val="0"/>
        <w:spacing w:line="360" w:lineRule="auto"/>
        <w:ind w:firstLine="442" w:firstLineChars="200"/>
        <w:rPr>
          <w:rFonts w:hint="eastAsia" w:ascii="宋体" w:hAnsi="宋体" w:eastAsia="宋体" w:cs="宋体"/>
          <w:bCs/>
          <w:sz w:val="24"/>
        </w:rPr>
      </w:pPr>
      <w:r>
        <w:rPr>
          <w:rFonts w:hint="eastAsia" w:ascii="宋体" w:hAnsi="宋体" w:eastAsia="宋体" w:cs="宋体"/>
          <w:bCs/>
          <w:sz w:val="24"/>
        </w:rPr>
        <w:t>14.3中标企业的投标保证金在签署合同（生效）后五个工作日内退还。</w:t>
      </w:r>
    </w:p>
    <w:p>
      <w:pPr>
        <w:adjustRightInd w:val="0"/>
        <w:snapToGrid w:val="0"/>
        <w:spacing w:line="360" w:lineRule="auto"/>
        <w:ind w:firstLine="442" w:firstLineChars="200"/>
        <w:rPr>
          <w:rFonts w:hint="eastAsia" w:ascii="宋体" w:hAnsi="宋体" w:eastAsia="宋体" w:cs="宋体"/>
          <w:bCs/>
          <w:sz w:val="24"/>
        </w:rPr>
      </w:pPr>
      <w:r>
        <w:rPr>
          <w:rFonts w:hint="eastAsia" w:ascii="宋体" w:hAnsi="宋体" w:eastAsia="宋体" w:cs="宋体"/>
          <w:bCs/>
          <w:sz w:val="24"/>
        </w:rPr>
        <w:t>14.4投标企业如有下列情况之一者，谈投标保证金不予退回：</w:t>
      </w:r>
    </w:p>
    <w:p>
      <w:pPr>
        <w:adjustRightInd w:val="0"/>
        <w:snapToGrid w:val="0"/>
        <w:spacing w:line="360" w:lineRule="auto"/>
        <w:ind w:firstLine="442" w:firstLineChars="200"/>
        <w:rPr>
          <w:rFonts w:hint="eastAsia" w:ascii="宋体" w:hAnsi="宋体" w:eastAsia="宋体" w:cs="宋体"/>
          <w:bCs/>
          <w:sz w:val="24"/>
        </w:rPr>
      </w:pPr>
      <w:r>
        <w:rPr>
          <w:rFonts w:hint="eastAsia" w:ascii="宋体" w:hAnsi="宋体" w:eastAsia="宋体" w:cs="宋体"/>
          <w:bCs/>
          <w:sz w:val="24"/>
        </w:rPr>
        <w:t>（1）投标企业在提交投标文件截止时间后撤回投标文件的；</w:t>
      </w:r>
    </w:p>
    <w:p>
      <w:pPr>
        <w:adjustRightInd w:val="0"/>
        <w:snapToGrid w:val="0"/>
        <w:spacing w:line="360" w:lineRule="auto"/>
        <w:ind w:firstLine="442" w:firstLineChars="200"/>
        <w:rPr>
          <w:rFonts w:hint="eastAsia" w:ascii="宋体" w:hAnsi="宋体" w:eastAsia="宋体" w:cs="宋体"/>
          <w:bCs/>
          <w:sz w:val="24"/>
        </w:rPr>
      </w:pPr>
      <w:r>
        <w:rPr>
          <w:rFonts w:hint="eastAsia" w:ascii="宋体" w:hAnsi="宋体" w:eastAsia="宋体" w:cs="宋体"/>
          <w:bCs/>
          <w:sz w:val="24"/>
        </w:rPr>
        <w:t>（2）投标企业在投标文件中提供虚假材料的；</w:t>
      </w:r>
    </w:p>
    <w:p>
      <w:pPr>
        <w:adjustRightInd w:val="0"/>
        <w:snapToGrid w:val="0"/>
        <w:spacing w:line="360" w:lineRule="auto"/>
        <w:ind w:firstLine="442" w:firstLineChars="200"/>
        <w:rPr>
          <w:rFonts w:hint="eastAsia" w:ascii="宋体" w:hAnsi="宋体" w:eastAsia="宋体" w:cs="宋体"/>
          <w:bCs/>
          <w:sz w:val="24"/>
        </w:rPr>
      </w:pPr>
      <w:r>
        <w:rPr>
          <w:rFonts w:hint="eastAsia" w:ascii="宋体" w:hAnsi="宋体" w:eastAsia="宋体" w:cs="宋体"/>
          <w:bCs/>
          <w:sz w:val="24"/>
        </w:rPr>
        <w:t>（3）除因不可抗力或招标文件认可的情形以外，中标企业不与采购人签订合同的；</w:t>
      </w:r>
    </w:p>
    <w:p>
      <w:pPr>
        <w:adjustRightInd w:val="0"/>
        <w:snapToGrid w:val="0"/>
        <w:spacing w:line="360" w:lineRule="auto"/>
        <w:ind w:firstLine="442" w:firstLineChars="200"/>
        <w:rPr>
          <w:rFonts w:hint="eastAsia" w:ascii="宋体" w:hAnsi="宋体" w:eastAsia="宋体" w:cs="宋体"/>
          <w:bCs/>
          <w:sz w:val="24"/>
        </w:rPr>
      </w:pPr>
      <w:r>
        <w:rPr>
          <w:rFonts w:hint="eastAsia" w:ascii="宋体" w:hAnsi="宋体" w:eastAsia="宋体" w:cs="宋体"/>
          <w:bCs/>
          <w:sz w:val="24"/>
        </w:rPr>
        <w:t>（4）投标企业与招标人、其他投标企业或者招标代理机构恶意串通的；</w:t>
      </w:r>
    </w:p>
    <w:p>
      <w:pPr>
        <w:adjustRightInd w:val="0"/>
        <w:snapToGrid w:val="0"/>
        <w:spacing w:line="360" w:lineRule="auto"/>
        <w:ind w:firstLine="442" w:firstLineChars="200"/>
        <w:rPr>
          <w:rFonts w:hint="eastAsia" w:ascii="宋体" w:hAnsi="宋体" w:eastAsia="宋体" w:cs="宋体"/>
          <w:bCs/>
          <w:sz w:val="24"/>
        </w:rPr>
      </w:pPr>
      <w:r>
        <w:rPr>
          <w:rFonts w:hint="eastAsia" w:ascii="宋体" w:hAnsi="宋体" w:eastAsia="宋体" w:cs="宋体"/>
          <w:bCs/>
          <w:sz w:val="24"/>
        </w:rPr>
        <w:t>（5）中标企业不缴纳招标代理服务费的；</w:t>
      </w:r>
    </w:p>
    <w:p>
      <w:pPr>
        <w:adjustRightInd w:val="0"/>
        <w:snapToGrid w:val="0"/>
        <w:spacing w:line="360" w:lineRule="auto"/>
        <w:ind w:firstLine="442" w:firstLineChars="200"/>
        <w:rPr>
          <w:rFonts w:hint="eastAsia" w:ascii="宋体" w:hAnsi="宋体" w:eastAsia="宋体" w:cs="宋体"/>
          <w:bCs/>
          <w:sz w:val="24"/>
        </w:rPr>
      </w:pPr>
      <w:r>
        <w:rPr>
          <w:rFonts w:hint="eastAsia" w:ascii="宋体" w:hAnsi="宋体" w:eastAsia="宋体" w:cs="宋体"/>
          <w:bCs/>
          <w:sz w:val="24"/>
        </w:rPr>
        <w:t>（6）招标文件规定的其他情形。</w:t>
      </w:r>
    </w:p>
    <w:p>
      <w:pPr>
        <w:adjustRightInd w:val="0"/>
        <w:snapToGrid w:val="0"/>
        <w:spacing w:line="360" w:lineRule="auto"/>
        <w:ind w:firstLine="442" w:firstLineChars="200"/>
        <w:rPr>
          <w:rFonts w:hint="eastAsia" w:ascii="宋体" w:hAnsi="宋体" w:eastAsia="宋体" w:cs="宋体"/>
          <w:bCs/>
          <w:sz w:val="24"/>
        </w:rPr>
      </w:pPr>
      <w:r>
        <w:rPr>
          <w:rFonts w:hint="eastAsia" w:ascii="宋体" w:hAnsi="宋体" w:eastAsia="宋体" w:cs="宋体"/>
          <w:bCs/>
          <w:sz w:val="24"/>
        </w:rPr>
        <w:t>14.5被没收的投标保证金归招标人所有，国家及省、市另有规定的从其约定。</w:t>
      </w:r>
    </w:p>
    <w:p>
      <w:pPr>
        <w:pStyle w:val="12"/>
        <w:spacing w:line="360" w:lineRule="auto"/>
        <w:ind w:left="0" w:leftChars="0" w:firstLine="442" w:firstLineChars="200"/>
        <w:outlineLvl w:val="0"/>
        <w:rPr>
          <w:rFonts w:hint="eastAsia" w:ascii="宋体" w:hAnsi="宋体" w:eastAsia="宋体" w:cs="宋体"/>
          <w:bCs/>
          <w:sz w:val="24"/>
        </w:rPr>
      </w:pPr>
      <w:bookmarkStart w:id="249" w:name="_Toc7467"/>
      <w:bookmarkStart w:id="250" w:name="_Toc24161"/>
      <w:r>
        <w:rPr>
          <w:rFonts w:hint="eastAsia" w:ascii="宋体" w:hAnsi="宋体" w:eastAsia="宋体" w:cs="宋体"/>
          <w:bCs/>
          <w:sz w:val="24"/>
        </w:rPr>
        <w:t xml:space="preserve">15.  </w:t>
      </w:r>
      <w:bookmarkEnd w:id="247"/>
      <w:r>
        <w:rPr>
          <w:rFonts w:hint="eastAsia" w:ascii="宋体" w:hAnsi="宋体" w:eastAsia="宋体" w:cs="宋体"/>
          <w:bCs/>
          <w:sz w:val="24"/>
        </w:rPr>
        <w:t>投标有效期</w:t>
      </w:r>
      <w:bookmarkEnd w:id="248"/>
      <w:bookmarkEnd w:id="249"/>
      <w:bookmarkEnd w:id="250"/>
    </w:p>
    <w:p>
      <w:pPr>
        <w:pStyle w:val="12"/>
        <w:spacing w:line="360" w:lineRule="auto"/>
        <w:ind w:left="0" w:leftChars="0" w:firstLine="442" w:firstLineChars="200"/>
        <w:outlineLvl w:val="0"/>
        <w:rPr>
          <w:rFonts w:hint="eastAsia" w:ascii="宋体" w:hAnsi="宋体" w:eastAsia="宋体" w:cs="宋体"/>
          <w:bCs/>
          <w:sz w:val="24"/>
        </w:rPr>
      </w:pPr>
      <w:bookmarkStart w:id="251" w:name="_Toc67"/>
      <w:bookmarkStart w:id="252" w:name="_Toc2030"/>
      <w:bookmarkStart w:id="253" w:name="_Toc2276"/>
      <w:bookmarkStart w:id="254" w:name="_Toc24497"/>
      <w:r>
        <w:rPr>
          <w:rFonts w:hint="eastAsia" w:ascii="宋体" w:hAnsi="宋体" w:eastAsia="宋体" w:cs="宋体"/>
          <w:bCs/>
          <w:sz w:val="24"/>
        </w:rPr>
        <w:t>15.1 从投标截止之日起，投标有效期为</w:t>
      </w:r>
      <w:r>
        <w:rPr>
          <w:rFonts w:hint="eastAsia" w:ascii="宋体" w:hAnsi="宋体" w:eastAsia="宋体" w:cs="宋体"/>
          <w:bCs/>
          <w:sz w:val="24"/>
          <w:u w:val="single"/>
        </w:rPr>
        <w:t>90</w:t>
      </w:r>
      <w:r>
        <w:rPr>
          <w:rFonts w:hint="eastAsia" w:ascii="宋体" w:hAnsi="宋体" w:eastAsia="宋体" w:cs="宋体"/>
          <w:bCs/>
          <w:sz w:val="24"/>
        </w:rPr>
        <w:t>日。报价文件的有效期比本须知规定的有效期短的报价将被拒绝。</w:t>
      </w:r>
      <w:bookmarkEnd w:id="251"/>
      <w:bookmarkEnd w:id="252"/>
      <w:bookmarkEnd w:id="253"/>
      <w:bookmarkEnd w:id="254"/>
    </w:p>
    <w:p>
      <w:pPr>
        <w:pStyle w:val="12"/>
        <w:spacing w:line="360" w:lineRule="auto"/>
        <w:ind w:left="0" w:leftChars="0" w:firstLine="442" w:firstLineChars="200"/>
        <w:outlineLvl w:val="0"/>
        <w:rPr>
          <w:rFonts w:hint="eastAsia" w:ascii="宋体" w:hAnsi="宋体" w:eastAsia="宋体" w:cs="宋体"/>
          <w:bCs/>
          <w:sz w:val="24"/>
        </w:rPr>
      </w:pPr>
      <w:bookmarkStart w:id="255" w:name="_Toc7886"/>
      <w:bookmarkStart w:id="256" w:name="_Toc24644"/>
      <w:bookmarkStart w:id="257" w:name="_Toc27899"/>
      <w:bookmarkStart w:id="258" w:name="_Toc6280"/>
      <w:r>
        <w:rPr>
          <w:rFonts w:hint="eastAsia" w:ascii="宋体" w:hAnsi="宋体" w:eastAsia="宋体" w:cs="宋体"/>
          <w:bCs/>
          <w:sz w:val="24"/>
        </w:rPr>
        <w:t>15.2 特殊情况下，在投标有效期满之前，招标代理机构可以书面形式要求投标企业同意延长投标有效期。投标企业可以以书面形式拒绝或接受上述要求。拒绝延长投标有效期的投标企业有权收回投标保证金；同意延长投标有效期的投标企业应当相应延长其投标保证金的有效期，但不得修改投标文件的其他内容。</w:t>
      </w:r>
      <w:bookmarkEnd w:id="255"/>
      <w:bookmarkEnd w:id="256"/>
      <w:bookmarkEnd w:id="257"/>
      <w:bookmarkEnd w:id="258"/>
    </w:p>
    <w:p>
      <w:pPr>
        <w:pStyle w:val="12"/>
        <w:spacing w:line="360" w:lineRule="auto"/>
        <w:ind w:left="0" w:leftChars="0" w:hanging="100" w:firstLineChars="0"/>
        <w:outlineLvl w:val="0"/>
        <w:rPr>
          <w:rFonts w:hint="eastAsia" w:ascii="宋体" w:hAnsi="宋体" w:eastAsia="宋体" w:cs="宋体"/>
          <w:bCs/>
          <w:sz w:val="28"/>
        </w:rPr>
      </w:pPr>
      <w:bookmarkStart w:id="259" w:name="_Toc4703"/>
      <w:bookmarkStart w:id="260" w:name="_Toc30185"/>
      <w:bookmarkStart w:id="261" w:name="_Toc524"/>
      <w:bookmarkStart w:id="262" w:name="_Toc15770"/>
      <w:r>
        <w:rPr>
          <w:rFonts w:hint="eastAsia" w:ascii="宋体" w:hAnsi="宋体" w:eastAsia="宋体" w:cs="宋体"/>
          <w:bCs/>
          <w:sz w:val="28"/>
        </w:rPr>
        <w:t>四、投标文件递交</w:t>
      </w:r>
      <w:bookmarkEnd w:id="259"/>
      <w:bookmarkEnd w:id="260"/>
      <w:bookmarkEnd w:id="261"/>
      <w:bookmarkEnd w:id="262"/>
    </w:p>
    <w:p>
      <w:pPr>
        <w:pStyle w:val="12"/>
        <w:spacing w:line="360" w:lineRule="auto"/>
        <w:ind w:left="0" w:leftChars="0" w:firstLine="442" w:firstLineChars="200"/>
        <w:outlineLvl w:val="0"/>
        <w:rPr>
          <w:rFonts w:hint="eastAsia" w:ascii="宋体" w:hAnsi="宋体" w:eastAsia="宋体" w:cs="宋体"/>
          <w:bCs/>
          <w:sz w:val="24"/>
        </w:rPr>
      </w:pPr>
      <w:bookmarkStart w:id="263" w:name="_Toc3538"/>
      <w:bookmarkStart w:id="264" w:name="_Toc22154"/>
      <w:bookmarkStart w:id="265" w:name="_Toc17584"/>
      <w:bookmarkStart w:id="266" w:name="_Toc21099"/>
      <w:r>
        <w:rPr>
          <w:rFonts w:hint="eastAsia" w:ascii="宋体" w:hAnsi="宋体" w:eastAsia="宋体" w:cs="宋体"/>
          <w:bCs/>
          <w:sz w:val="24"/>
        </w:rPr>
        <w:t>16.  投标文件递交时间和地点</w:t>
      </w:r>
      <w:bookmarkEnd w:id="263"/>
      <w:bookmarkEnd w:id="264"/>
      <w:bookmarkEnd w:id="265"/>
      <w:bookmarkEnd w:id="266"/>
    </w:p>
    <w:p>
      <w:pPr>
        <w:pStyle w:val="12"/>
        <w:spacing w:line="360" w:lineRule="auto"/>
        <w:ind w:left="0" w:leftChars="0" w:firstLine="442" w:firstLineChars="200"/>
        <w:outlineLvl w:val="0"/>
        <w:rPr>
          <w:rFonts w:hint="eastAsia" w:ascii="宋体" w:hAnsi="宋体" w:eastAsia="宋体" w:cs="宋体"/>
          <w:bCs/>
          <w:sz w:val="24"/>
        </w:rPr>
      </w:pPr>
      <w:bookmarkStart w:id="267" w:name="_Toc5200"/>
      <w:bookmarkStart w:id="268" w:name="_Toc21004"/>
      <w:bookmarkStart w:id="269" w:name="_Toc4057"/>
      <w:bookmarkStart w:id="270" w:name="_Toc15615"/>
      <w:r>
        <w:rPr>
          <w:rFonts w:hint="eastAsia" w:ascii="宋体" w:hAnsi="宋体" w:eastAsia="宋体" w:cs="宋体"/>
          <w:bCs/>
          <w:sz w:val="24"/>
        </w:rPr>
        <w:t>16.1 投标企业代表必须在投标截止时间前按招标文件要求方式和地址按时提交投标文件，如因招标文件的修改推迟投标截止日期的，则按招标代理机构另行通知规定的时间递交。</w:t>
      </w:r>
      <w:bookmarkEnd w:id="267"/>
      <w:bookmarkEnd w:id="268"/>
      <w:bookmarkEnd w:id="269"/>
      <w:bookmarkEnd w:id="270"/>
    </w:p>
    <w:p>
      <w:pPr>
        <w:pStyle w:val="12"/>
        <w:spacing w:line="360" w:lineRule="auto"/>
        <w:ind w:left="0" w:leftChars="0" w:firstLine="442" w:firstLineChars="200"/>
        <w:outlineLvl w:val="0"/>
        <w:rPr>
          <w:rFonts w:hint="eastAsia" w:ascii="宋体" w:hAnsi="宋体" w:eastAsia="宋体" w:cs="宋体"/>
          <w:bCs/>
          <w:sz w:val="24"/>
        </w:rPr>
      </w:pPr>
      <w:bookmarkStart w:id="271" w:name="_Toc27010"/>
      <w:bookmarkStart w:id="272" w:name="_Toc25228"/>
      <w:bookmarkStart w:id="273" w:name="_Toc15128"/>
      <w:bookmarkStart w:id="274" w:name="_Toc10647"/>
      <w:r>
        <w:rPr>
          <w:rFonts w:hint="eastAsia" w:ascii="宋体" w:hAnsi="宋体" w:eastAsia="宋体" w:cs="宋体"/>
          <w:bCs/>
          <w:sz w:val="24"/>
        </w:rPr>
        <w:t>16.2 招标代理机构将拒绝接收投标截止时间后上传的投标文件。</w:t>
      </w:r>
      <w:bookmarkEnd w:id="271"/>
      <w:bookmarkEnd w:id="272"/>
      <w:bookmarkEnd w:id="273"/>
      <w:bookmarkEnd w:id="274"/>
    </w:p>
    <w:p>
      <w:pPr>
        <w:pStyle w:val="12"/>
        <w:spacing w:line="360" w:lineRule="auto"/>
        <w:ind w:left="0" w:leftChars="0" w:firstLine="442" w:firstLineChars="200"/>
        <w:outlineLvl w:val="0"/>
        <w:rPr>
          <w:rFonts w:hint="eastAsia" w:ascii="宋体" w:hAnsi="宋体" w:eastAsia="宋体" w:cs="宋体"/>
          <w:bCs/>
          <w:sz w:val="24"/>
        </w:rPr>
      </w:pPr>
      <w:bookmarkStart w:id="275" w:name="_Toc30949"/>
      <w:bookmarkStart w:id="276" w:name="_Toc22226"/>
      <w:bookmarkStart w:id="277" w:name="_Toc17822"/>
      <w:bookmarkStart w:id="278" w:name="_Toc24898"/>
      <w:r>
        <w:rPr>
          <w:rFonts w:hint="eastAsia" w:ascii="宋体" w:hAnsi="宋体" w:eastAsia="宋体" w:cs="宋体"/>
          <w:bCs/>
          <w:sz w:val="24"/>
        </w:rPr>
        <w:t>17.  投标文件签收</w:t>
      </w:r>
      <w:bookmarkEnd w:id="275"/>
      <w:bookmarkEnd w:id="276"/>
      <w:bookmarkEnd w:id="277"/>
      <w:bookmarkEnd w:id="278"/>
    </w:p>
    <w:p>
      <w:pPr>
        <w:pStyle w:val="12"/>
        <w:spacing w:line="360" w:lineRule="auto"/>
        <w:ind w:left="0" w:leftChars="0" w:firstLine="442" w:firstLineChars="200"/>
        <w:outlineLvl w:val="0"/>
        <w:rPr>
          <w:rFonts w:hint="eastAsia" w:ascii="宋体" w:hAnsi="宋体" w:eastAsia="宋体" w:cs="宋体"/>
          <w:bCs/>
          <w:sz w:val="24"/>
        </w:rPr>
      </w:pPr>
      <w:bookmarkStart w:id="279" w:name="_Toc27480"/>
      <w:bookmarkStart w:id="280" w:name="_Toc19686"/>
      <w:bookmarkStart w:id="281" w:name="_Toc25844"/>
      <w:bookmarkStart w:id="282" w:name="_Toc17983"/>
      <w:bookmarkStart w:id="283" w:name="_Toc25025"/>
      <w:bookmarkStart w:id="284" w:name="_Toc27505"/>
      <w:bookmarkStart w:id="285" w:name="_Toc15367"/>
      <w:bookmarkStart w:id="286" w:name="_Toc13486"/>
      <w:r>
        <w:rPr>
          <w:rFonts w:hint="eastAsia" w:ascii="宋体" w:hAnsi="宋体" w:eastAsia="宋体" w:cs="宋体"/>
          <w:bCs/>
          <w:sz w:val="24"/>
        </w:rPr>
        <w:t>17.1 招标代理机构于投标截止时间前接收合格的投标文件，投标企业同时签字确认。</w:t>
      </w:r>
      <w:bookmarkEnd w:id="279"/>
      <w:bookmarkEnd w:id="280"/>
      <w:bookmarkEnd w:id="281"/>
      <w:bookmarkEnd w:id="282"/>
    </w:p>
    <w:p>
      <w:pPr>
        <w:pStyle w:val="12"/>
        <w:spacing w:line="360" w:lineRule="auto"/>
        <w:ind w:left="0" w:leftChars="0" w:firstLine="442" w:firstLineChars="200"/>
        <w:outlineLvl w:val="0"/>
        <w:rPr>
          <w:rFonts w:hint="eastAsia" w:ascii="宋体" w:hAnsi="宋体" w:eastAsia="宋体" w:cs="宋体"/>
          <w:bCs/>
          <w:sz w:val="24"/>
        </w:rPr>
      </w:pPr>
      <w:bookmarkStart w:id="287" w:name="_Toc32132"/>
      <w:bookmarkStart w:id="288" w:name="_Toc12899"/>
      <w:bookmarkStart w:id="289" w:name="_Toc24357"/>
      <w:bookmarkStart w:id="290" w:name="_Toc25958"/>
      <w:r>
        <w:rPr>
          <w:rFonts w:hint="eastAsia" w:ascii="宋体" w:hAnsi="宋体" w:eastAsia="宋体" w:cs="宋体"/>
          <w:bCs/>
          <w:sz w:val="24"/>
        </w:rPr>
        <w:t>17.2 投标文件须采用纸质形式现场提交。</w:t>
      </w:r>
      <w:bookmarkEnd w:id="287"/>
      <w:bookmarkEnd w:id="288"/>
      <w:bookmarkEnd w:id="289"/>
      <w:bookmarkEnd w:id="290"/>
    </w:p>
    <w:p>
      <w:pPr>
        <w:pStyle w:val="12"/>
        <w:spacing w:line="360" w:lineRule="auto"/>
        <w:ind w:left="0" w:leftChars="0" w:firstLine="442" w:firstLineChars="200"/>
        <w:outlineLvl w:val="0"/>
        <w:rPr>
          <w:rFonts w:hint="eastAsia" w:ascii="宋体" w:hAnsi="宋体" w:eastAsia="宋体" w:cs="宋体"/>
          <w:bCs/>
          <w:sz w:val="24"/>
        </w:rPr>
      </w:pPr>
      <w:bookmarkStart w:id="291" w:name="_Toc30735"/>
      <w:bookmarkStart w:id="292" w:name="_Toc4444"/>
      <w:bookmarkStart w:id="293" w:name="_Toc4266"/>
      <w:bookmarkStart w:id="294" w:name="_Toc26728"/>
      <w:r>
        <w:rPr>
          <w:rFonts w:hint="eastAsia" w:ascii="宋体" w:hAnsi="宋体" w:eastAsia="宋体" w:cs="宋体"/>
          <w:bCs/>
          <w:sz w:val="24"/>
        </w:rPr>
        <w:t>17.3 对投标企业提交的投标文件在投标截止时间后不予退还。</w:t>
      </w:r>
      <w:bookmarkEnd w:id="291"/>
      <w:bookmarkEnd w:id="292"/>
      <w:bookmarkEnd w:id="293"/>
      <w:bookmarkEnd w:id="294"/>
    </w:p>
    <w:p>
      <w:pPr>
        <w:pStyle w:val="12"/>
        <w:spacing w:line="360" w:lineRule="auto"/>
        <w:ind w:left="0" w:leftChars="0" w:firstLine="442" w:firstLineChars="200"/>
        <w:outlineLvl w:val="0"/>
        <w:rPr>
          <w:rFonts w:hint="eastAsia" w:ascii="宋体" w:hAnsi="宋体" w:eastAsia="宋体" w:cs="宋体"/>
          <w:bCs/>
          <w:sz w:val="24"/>
        </w:rPr>
      </w:pPr>
      <w:r>
        <w:rPr>
          <w:rFonts w:hint="eastAsia" w:ascii="宋体" w:hAnsi="宋体" w:eastAsia="宋体" w:cs="宋体"/>
          <w:bCs/>
          <w:sz w:val="24"/>
        </w:rPr>
        <w:t>18.  投标文件修改与撤回</w:t>
      </w:r>
      <w:bookmarkEnd w:id="283"/>
      <w:bookmarkEnd w:id="284"/>
      <w:bookmarkEnd w:id="285"/>
      <w:bookmarkEnd w:id="286"/>
    </w:p>
    <w:p>
      <w:pPr>
        <w:pStyle w:val="12"/>
        <w:spacing w:line="360" w:lineRule="auto"/>
        <w:ind w:left="0" w:leftChars="0" w:firstLine="442" w:firstLineChars="200"/>
        <w:outlineLvl w:val="0"/>
        <w:rPr>
          <w:rFonts w:hint="eastAsia" w:ascii="宋体" w:hAnsi="宋体" w:eastAsia="宋体" w:cs="宋体"/>
          <w:bCs/>
          <w:sz w:val="24"/>
        </w:rPr>
      </w:pPr>
      <w:bookmarkStart w:id="295" w:name="_Toc17300"/>
      <w:bookmarkStart w:id="296" w:name="_Toc4638"/>
      <w:bookmarkStart w:id="297" w:name="_Toc24426"/>
      <w:r>
        <w:rPr>
          <w:rFonts w:hint="eastAsia" w:ascii="宋体" w:hAnsi="宋体" w:eastAsia="宋体" w:cs="宋体"/>
          <w:bCs/>
          <w:sz w:val="24"/>
        </w:rPr>
        <w:t>18.1 投标企业在招标文件要求提交投标文件的截止时间前，可以补充、修改或者撤回已提交的投标文件。</w:t>
      </w:r>
      <w:bookmarkEnd w:id="295"/>
      <w:bookmarkEnd w:id="296"/>
      <w:bookmarkEnd w:id="297"/>
    </w:p>
    <w:p>
      <w:pPr>
        <w:pStyle w:val="12"/>
        <w:spacing w:line="360" w:lineRule="auto"/>
        <w:ind w:left="0" w:leftChars="0" w:firstLine="442" w:firstLineChars="200"/>
        <w:outlineLvl w:val="0"/>
        <w:rPr>
          <w:rFonts w:hint="eastAsia" w:ascii="宋体" w:hAnsi="宋体" w:eastAsia="宋体" w:cs="宋体"/>
          <w:bCs/>
          <w:sz w:val="24"/>
        </w:rPr>
      </w:pPr>
      <w:bookmarkStart w:id="298" w:name="_Toc29621"/>
      <w:bookmarkStart w:id="299" w:name="_Toc19290"/>
      <w:bookmarkStart w:id="300" w:name="_Toc7346"/>
      <w:r>
        <w:rPr>
          <w:rFonts w:hint="eastAsia" w:ascii="宋体" w:hAnsi="宋体" w:eastAsia="宋体" w:cs="宋体"/>
          <w:bCs/>
          <w:sz w:val="24"/>
        </w:rPr>
        <w:t>18.2 投标企业对投标文件的补充、修改或撤回通知应按招标文件要求进行，否则不予接受。</w:t>
      </w:r>
      <w:bookmarkEnd w:id="298"/>
      <w:bookmarkEnd w:id="299"/>
      <w:bookmarkEnd w:id="300"/>
    </w:p>
    <w:p>
      <w:pPr>
        <w:pStyle w:val="12"/>
        <w:spacing w:line="360" w:lineRule="auto"/>
        <w:ind w:left="0" w:leftChars="0" w:firstLine="442" w:firstLineChars="200"/>
        <w:outlineLvl w:val="0"/>
        <w:rPr>
          <w:rFonts w:hint="eastAsia" w:ascii="宋体" w:hAnsi="宋体" w:eastAsia="宋体" w:cs="宋体"/>
          <w:bCs/>
          <w:sz w:val="24"/>
        </w:rPr>
      </w:pPr>
      <w:bookmarkStart w:id="301" w:name="_Toc15476"/>
      <w:bookmarkStart w:id="302" w:name="_Toc29480"/>
      <w:bookmarkStart w:id="303" w:name="_Toc6747"/>
      <w:r>
        <w:rPr>
          <w:rFonts w:hint="eastAsia" w:ascii="宋体" w:hAnsi="宋体" w:eastAsia="宋体" w:cs="宋体"/>
          <w:bCs/>
          <w:sz w:val="24"/>
        </w:rPr>
        <w:t>18.3 投标有效期内不得撤回投标文件，开标仪式后撤回报价的行为将被记录在案，其投标保证金不予退还。</w:t>
      </w:r>
      <w:bookmarkEnd w:id="301"/>
      <w:bookmarkEnd w:id="302"/>
      <w:bookmarkEnd w:id="303"/>
    </w:p>
    <w:p>
      <w:pPr>
        <w:pStyle w:val="9"/>
        <w:spacing w:after="0" w:line="360" w:lineRule="auto"/>
        <w:rPr>
          <w:rFonts w:hint="eastAsia" w:ascii="宋体" w:hAnsi="宋体" w:eastAsia="宋体" w:cs="宋体"/>
          <w:bCs/>
          <w:sz w:val="28"/>
        </w:rPr>
      </w:pPr>
      <w:r>
        <w:rPr>
          <w:rFonts w:hint="eastAsia" w:ascii="宋体" w:hAnsi="宋体" w:eastAsia="宋体" w:cs="宋体"/>
          <w:bCs/>
          <w:sz w:val="28"/>
        </w:rPr>
        <w:t>五、开标与评审</w:t>
      </w:r>
    </w:p>
    <w:p>
      <w:pPr>
        <w:pStyle w:val="12"/>
        <w:spacing w:line="360" w:lineRule="auto"/>
        <w:ind w:left="0" w:leftChars="0" w:firstLine="442" w:firstLineChars="200"/>
        <w:outlineLvl w:val="0"/>
        <w:rPr>
          <w:rFonts w:hint="eastAsia" w:ascii="宋体" w:hAnsi="宋体" w:eastAsia="宋体" w:cs="宋体"/>
          <w:bCs/>
          <w:sz w:val="24"/>
        </w:rPr>
      </w:pPr>
      <w:bookmarkStart w:id="304" w:name="_Toc22816"/>
      <w:bookmarkStart w:id="305" w:name="_Toc17524"/>
      <w:bookmarkStart w:id="306" w:name="_Toc10497"/>
      <w:r>
        <w:rPr>
          <w:rFonts w:hint="eastAsia" w:ascii="宋体" w:hAnsi="宋体" w:eastAsia="宋体" w:cs="宋体"/>
          <w:bCs/>
          <w:sz w:val="24"/>
        </w:rPr>
        <w:t xml:space="preserve">19.  </w:t>
      </w:r>
      <w:bookmarkEnd w:id="304"/>
      <w:r>
        <w:rPr>
          <w:rFonts w:hint="eastAsia" w:ascii="宋体" w:hAnsi="宋体" w:eastAsia="宋体" w:cs="宋体"/>
          <w:bCs/>
          <w:sz w:val="24"/>
        </w:rPr>
        <w:t>开标</w:t>
      </w:r>
      <w:bookmarkEnd w:id="305"/>
      <w:bookmarkEnd w:id="306"/>
    </w:p>
    <w:p>
      <w:pPr>
        <w:pStyle w:val="12"/>
        <w:spacing w:line="360" w:lineRule="auto"/>
        <w:ind w:left="0" w:leftChars="0" w:firstLine="442" w:firstLineChars="200"/>
        <w:outlineLvl w:val="0"/>
        <w:rPr>
          <w:rFonts w:hint="eastAsia" w:ascii="宋体" w:hAnsi="宋体" w:eastAsia="宋体" w:cs="宋体"/>
          <w:bCs/>
          <w:sz w:val="24"/>
        </w:rPr>
      </w:pPr>
      <w:bookmarkStart w:id="307" w:name="_Toc10829"/>
      <w:bookmarkStart w:id="308" w:name="_Toc18621"/>
      <w:bookmarkStart w:id="309" w:name="_Toc4675"/>
      <w:r>
        <w:rPr>
          <w:rFonts w:hint="eastAsia" w:ascii="宋体" w:hAnsi="宋体" w:eastAsia="宋体" w:cs="宋体"/>
          <w:bCs/>
          <w:sz w:val="24"/>
        </w:rPr>
        <w:t>19.1 按照招标文件规定的时间、地点开标。开标由招标代理机构主持，招标单位、投标企业和有关方面的代表参加。</w:t>
      </w:r>
      <w:bookmarkEnd w:id="307"/>
      <w:bookmarkEnd w:id="308"/>
      <w:bookmarkEnd w:id="309"/>
    </w:p>
    <w:p>
      <w:pPr>
        <w:pStyle w:val="12"/>
        <w:spacing w:line="360" w:lineRule="auto"/>
        <w:ind w:left="0" w:leftChars="0" w:firstLine="442" w:firstLineChars="200"/>
        <w:outlineLvl w:val="0"/>
        <w:rPr>
          <w:rFonts w:hint="eastAsia" w:ascii="宋体" w:hAnsi="宋体" w:eastAsia="宋体" w:cs="宋体"/>
          <w:bCs/>
          <w:sz w:val="24"/>
        </w:rPr>
      </w:pPr>
      <w:r>
        <w:rPr>
          <w:rFonts w:hint="eastAsia" w:ascii="宋体" w:hAnsi="宋体" w:eastAsia="宋体" w:cs="宋体"/>
          <w:bCs/>
          <w:sz w:val="24"/>
        </w:rPr>
        <w:t>19.2 开标时，开标现场进行唱标，由代理机构人员进行记录，并由投标企业授权代表进行确认。</w:t>
      </w:r>
    </w:p>
    <w:p>
      <w:pPr>
        <w:pStyle w:val="12"/>
        <w:spacing w:line="360" w:lineRule="auto"/>
        <w:ind w:left="0" w:leftChars="0" w:firstLine="442" w:firstLineChars="200"/>
        <w:outlineLvl w:val="0"/>
        <w:rPr>
          <w:rFonts w:hint="eastAsia" w:ascii="宋体" w:hAnsi="宋体" w:eastAsia="宋体" w:cs="宋体"/>
          <w:bCs/>
          <w:sz w:val="24"/>
        </w:rPr>
      </w:pPr>
      <w:bookmarkStart w:id="310" w:name="_Toc2265"/>
      <w:bookmarkStart w:id="311" w:name="_Toc28141"/>
      <w:bookmarkStart w:id="312" w:name="_Toc7274"/>
      <w:r>
        <w:rPr>
          <w:rFonts w:hint="eastAsia" w:ascii="宋体" w:hAnsi="宋体" w:eastAsia="宋体" w:cs="宋体"/>
          <w:bCs/>
          <w:sz w:val="24"/>
        </w:rPr>
        <w:t>20.  组建</w:t>
      </w:r>
      <w:bookmarkEnd w:id="310"/>
      <w:r>
        <w:rPr>
          <w:rFonts w:hint="eastAsia" w:ascii="宋体" w:hAnsi="宋体" w:eastAsia="宋体" w:cs="宋体"/>
          <w:bCs/>
          <w:sz w:val="24"/>
        </w:rPr>
        <w:t>评标委员会</w:t>
      </w:r>
      <w:bookmarkEnd w:id="311"/>
      <w:bookmarkEnd w:id="312"/>
    </w:p>
    <w:p>
      <w:pPr>
        <w:pStyle w:val="12"/>
        <w:spacing w:line="360" w:lineRule="auto"/>
        <w:ind w:left="0" w:leftChars="0" w:firstLine="442" w:firstLineChars="200"/>
        <w:outlineLvl w:val="0"/>
        <w:rPr>
          <w:rFonts w:hint="eastAsia" w:ascii="宋体" w:hAnsi="宋体" w:eastAsia="宋体" w:cs="宋体"/>
          <w:bCs/>
          <w:sz w:val="24"/>
        </w:rPr>
      </w:pPr>
      <w:bookmarkStart w:id="313" w:name="_Toc3451"/>
      <w:bookmarkStart w:id="314" w:name="_Toc27178"/>
      <w:bookmarkStart w:id="315" w:name="_Toc32480"/>
      <w:r>
        <w:rPr>
          <w:rFonts w:hint="eastAsia" w:ascii="宋体" w:hAnsi="宋体" w:eastAsia="宋体" w:cs="宋体"/>
          <w:bCs/>
          <w:sz w:val="24"/>
        </w:rPr>
        <w:t>招标单位将根据本项目的特点组建评标委员会，其成员为五</w:t>
      </w:r>
      <w:r>
        <w:rPr>
          <w:rFonts w:hint="eastAsia" w:ascii="宋体" w:hAnsi="宋体" w:eastAsia="宋体" w:cs="宋体"/>
          <w:bCs/>
          <w:sz w:val="24"/>
          <w:u w:val="single"/>
        </w:rPr>
        <w:t>人及以上</w:t>
      </w:r>
      <w:r>
        <w:rPr>
          <w:rFonts w:hint="eastAsia" w:ascii="宋体" w:hAnsi="宋体" w:eastAsia="宋体" w:cs="宋体"/>
          <w:bCs/>
          <w:sz w:val="24"/>
        </w:rPr>
        <w:t>单数组成，评标委员会负责对投标文件进行审查、澄清、评审，确定中标企业。</w:t>
      </w:r>
      <w:bookmarkEnd w:id="313"/>
      <w:bookmarkEnd w:id="314"/>
      <w:bookmarkEnd w:id="315"/>
    </w:p>
    <w:p>
      <w:pPr>
        <w:pStyle w:val="12"/>
        <w:spacing w:line="360" w:lineRule="auto"/>
        <w:ind w:left="0" w:leftChars="0" w:firstLine="442" w:firstLineChars="200"/>
        <w:outlineLvl w:val="0"/>
        <w:rPr>
          <w:rFonts w:hint="eastAsia" w:ascii="宋体" w:hAnsi="宋体" w:eastAsia="宋体" w:cs="宋体"/>
          <w:bCs/>
          <w:sz w:val="24"/>
        </w:rPr>
      </w:pPr>
      <w:bookmarkStart w:id="316" w:name="_Toc26225"/>
      <w:bookmarkStart w:id="317" w:name="_Toc30536"/>
      <w:bookmarkStart w:id="318" w:name="_Toc4277"/>
      <w:r>
        <w:rPr>
          <w:rFonts w:hint="eastAsia" w:ascii="宋体" w:hAnsi="宋体" w:eastAsia="宋体" w:cs="宋体"/>
          <w:bCs/>
          <w:sz w:val="24"/>
        </w:rPr>
        <w:t>21.  评审原则</w:t>
      </w:r>
      <w:bookmarkEnd w:id="316"/>
      <w:bookmarkEnd w:id="317"/>
      <w:bookmarkEnd w:id="318"/>
    </w:p>
    <w:p>
      <w:pPr>
        <w:pStyle w:val="12"/>
        <w:spacing w:line="360" w:lineRule="auto"/>
        <w:ind w:left="0" w:leftChars="0" w:firstLine="442" w:firstLineChars="200"/>
        <w:outlineLvl w:val="0"/>
        <w:rPr>
          <w:rFonts w:hint="eastAsia" w:ascii="宋体" w:hAnsi="宋体" w:eastAsia="宋体" w:cs="宋体"/>
          <w:bCs/>
          <w:sz w:val="24"/>
        </w:rPr>
      </w:pPr>
      <w:bookmarkStart w:id="319" w:name="_Toc15294"/>
      <w:bookmarkStart w:id="320" w:name="_Toc18145"/>
      <w:bookmarkStart w:id="321" w:name="_Toc10840"/>
      <w:r>
        <w:rPr>
          <w:rFonts w:hint="eastAsia" w:ascii="宋体" w:hAnsi="宋体" w:eastAsia="宋体" w:cs="宋体"/>
          <w:bCs/>
          <w:sz w:val="24"/>
        </w:rPr>
        <w:t>21.1 客观性原则：评标委员会将严格按照招标文件的要求，对投标企业的投标文件进行认真评审；评标委员会对投标文件的评审仅依据投标文件本身，而不依据投标文件以外的任何因素。</w:t>
      </w:r>
      <w:bookmarkEnd w:id="319"/>
      <w:bookmarkEnd w:id="320"/>
      <w:bookmarkEnd w:id="321"/>
    </w:p>
    <w:p>
      <w:pPr>
        <w:pStyle w:val="12"/>
        <w:spacing w:line="360" w:lineRule="auto"/>
        <w:ind w:left="0" w:leftChars="0" w:firstLine="442" w:firstLineChars="200"/>
        <w:outlineLvl w:val="0"/>
        <w:rPr>
          <w:rFonts w:hint="eastAsia" w:ascii="宋体" w:hAnsi="宋体" w:eastAsia="宋体" w:cs="宋体"/>
          <w:bCs/>
          <w:sz w:val="24"/>
        </w:rPr>
      </w:pPr>
      <w:bookmarkStart w:id="322" w:name="_Toc7434"/>
      <w:bookmarkStart w:id="323" w:name="_Toc31038"/>
      <w:bookmarkStart w:id="324" w:name="_Toc8730"/>
      <w:r>
        <w:rPr>
          <w:rFonts w:hint="eastAsia" w:ascii="宋体" w:hAnsi="宋体" w:eastAsia="宋体" w:cs="宋体"/>
          <w:bCs/>
          <w:sz w:val="24"/>
        </w:rPr>
        <w:t>21.2 统一性原则：评标委员会将按照统一的评审原则和评审方法，用同一标准进行评审。</w:t>
      </w:r>
      <w:bookmarkEnd w:id="322"/>
      <w:bookmarkEnd w:id="323"/>
      <w:bookmarkEnd w:id="324"/>
    </w:p>
    <w:p>
      <w:pPr>
        <w:pStyle w:val="12"/>
        <w:spacing w:line="360" w:lineRule="auto"/>
        <w:ind w:left="0" w:leftChars="0" w:firstLine="442" w:firstLineChars="200"/>
        <w:outlineLvl w:val="0"/>
        <w:rPr>
          <w:rFonts w:hint="eastAsia" w:ascii="宋体" w:hAnsi="宋体" w:eastAsia="宋体" w:cs="宋体"/>
          <w:bCs/>
          <w:sz w:val="24"/>
        </w:rPr>
      </w:pPr>
      <w:bookmarkStart w:id="325" w:name="_Toc26165"/>
      <w:bookmarkStart w:id="326" w:name="_Toc26482"/>
      <w:bookmarkStart w:id="327" w:name="_Toc1538"/>
      <w:r>
        <w:rPr>
          <w:rFonts w:hint="eastAsia" w:ascii="宋体" w:hAnsi="宋体" w:eastAsia="宋体" w:cs="宋体"/>
          <w:bCs/>
          <w:sz w:val="24"/>
        </w:rPr>
        <w:t>21.3 独立性原则：评审工作在评标委员会内部独立进行，不受外界任何因素的干扰和影响。评标委员会成员对出具的意见承担个人责任。</w:t>
      </w:r>
      <w:bookmarkEnd w:id="325"/>
      <w:bookmarkEnd w:id="326"/>
      <w:bookmarkEnd w:id="327"/>
    </w:p>
    <w:p>
      <w:pPr>
        <w:pStyle w:val="12"/>
        <w:spacing w:line="360" w:lineRule="auto"/>
        <w:ind w:left="0" w:leftChars="0" w:firstLine="442" w:firstLineChars="200"/>
        <w:outlineLvl w:val="0"/>
        <w:rPr>
          <w:rFonts w:hint="eastAsia" w:ascii="宋体" w:hAnsi="宋体" w:eastAsia="宋体" w:cs="宋体"/>
          <w:bCs/>
          <w:sz w:val="24"/>
        </w:rPr>
      </w:pPr>
      <w:bookmarkStart w:id="328" w:name="_Toc13122"/>
      <w:bookmarkStart w:id="329" w:name="_Toc19225"/>
      <w:bookmarkStart w:id="330" w:name="_Toc21301"/>
      <w:r>
        <w:rPr>
          <w:rFonts w:hint="eastAsia" w:ascii="宋体" w:hAnsi="宋体" w:eastAsia="宋体" w:cs="宋体"/>
          <w:bCs/>
          <w:sz w:val="24"/>
        </w:rPr>
        <w:t>21.4 保密性原则：招标代理机构应当采取必要的措施，保证评审在严格保密的情况下进行。</w:t>
      </w:r>
      <w:bookmarkEnd w:id="328"/>
      <w:bookmarkEnd w:id="329"/>
      <w:bookmarkEnd w:id="330"/>
    </w:p>
    <w:p>
      <w:pPr>
        <w:pStyle w:val="12"/>
        <w:spacing w:line="360" w:lineRule="auto"/>
        <w:ind w:left="0" w:leftChars="0" w:firstLine="442" w:firstLineChars="200"/>
        <w:outlineLvl w:val="0"/>
        <w:rPr>
          <w:rFonts w:hint="eastAsia" w:ascii="宋体" w:hAnsi="宋体" w:eastAsia="宋体" w:cs="宋体"/>
          <w:bCs/>
          <w:sz w:val="24"/>
        </w:rPr>
      </w:pPr>
      <w:bookmarkStart w:id="331" w:name="_Toc12613"/>
      <w:bookmarkStart w:id="332" w:name="_Toc22326"/>
      <w:bookmarkStart w:id="333" w:name="_Toc1848"/>
      <w:r>
        <w:rPr>
          <w:rFonts w:hint="eastAsia" w:ascii="宋体" w:hAnsi="宋体" w:eastAsia="宋体" w:cs="宋体"/>
          <w:bCs/>
          <w:sz w:val="24"/>
        </w:rPr>
        <w:t>21.5 综合性原则：评标委员会将综合分析、评审投标企业的各项指标，而不以单项指标的优劣评定出中标企业。</w:t>
      </w:r>
      <w:bookmarkEnd w:id="331"/>
      <w:bookmarkEnd w:id="332"/>
      <w:bookmarkEnd w:id="333"/>
    </w:p>
    <w:p>
      <w:pPr>
        <w:pStyle w:val="12"/>
        <w:spacing w:line="360" w:lineRule="auto"/>
        <w:ind w:left="0" w:leftChars="0" w:firstLine="442" w:firstLineChars="200"/>
        <w:outlineLvl w:val="0"/>
        <w:rPr>
          <w:rFonts w:hint="eastAsia" w:ascii="宋体" w:hAnsi="宋体" w:eastAsia="宋体" w:cs="宋体"/>
          <w:bCs/>
          <w:sz w:val="24"/>
        </w:rPr>
      </w:pPr>
      <w:bookmarkStart w:id="334" w:name="_Toc14251"/>
      <w:bookmarkStart w:id="335" w:name="_Toc1125"/>
      <w:bookmarkStart w:id="336" w:name="_Toc15501"/>
      <w:r>
        <w:rPr>
          <w:rFonts w:hint="eastAsia" w:ascii="宋体" w:hAnsi="宋体" w:eastAsia="宋体" w:cs="宋体"/>
          <w:bCs/>
          <w:sz w:val="24"/>
        </w:rPr>
        <w:t>22.  初步评审</w:t>
      </w:r>
      <w:bookmarkEnd w:id="334"/>
      <w:bookmarkEnd w:id="335"/>
      <w:bookmarkEnd w:id="336"/>
    </w:p>
    <w:p>
      <w:pPr>
        <w:pStyle w:val="12"/>
        <w:spacing w:line="360" w:lineRule="auto"/>
        <w:ind w:left="0" w:leftChars="0" w:firstLine="442" w:firstLineChars="200"/>
        <w:outlineLvl w:val="0"/>
        <w:rPr>
          <w:rFonts w:hint="eastAsia" w:ascii="宋体" w:hAnsi="宋体" w:eastAsia="宋体" w:cs="宋体"/>
          <w:bCs/>
          <w:sz w:val="24"/>
        </w:rPr>
      </w:pPr>
      <w:bookmarkStart w:id="337" w:name="_Toc31716"/>
      <w:bookmarkStart w:id="338" w:name="_Toc21352"/>
      <w:bookmarkStart w:id="339" w:name="_Toc25642"/>
      <w:r>
        <w:rPr>
          <w:rFonts w:hint="eastAsia" w:ascii="宋体" w:hAnsi="宋体" w:eastAsia="宋体" w:cs="宋体"/>
          <w:bCs/>
          <w:sz w:val="24"/>
        </w:rPr>
        <w:t>22.1投标文件的初审分为资格性检查和符合性检查。资格性检查指依据法律、法规和招标文件的规定，对投标文件中的资格证明、投标保证金等进行审查，以确定投标企业是否具备投标资格。符合性检查指依据招标文件的规定，从投标文件的有效性、完整性和对招标文件的响应程度进行审查，以确定是否对招标文件的实质性要求作出响应。</w:t>
      </w:r>
      <w:bookmarkEnd w:id="337"/>
      <w:bookmarkEnd w:id="338"/>
      <w:bookmarkEnd w:id="339"/>
    </w:p>
    <w:p>
      <w:pPr>
        <w:pStyle w:val="12"/>
        <w:spacing w:line="360" w:lineRule="auto"/>
        <w:ind w:left="0" w:leftChars="0" w:firstLine="442" w:firstLineChars="200"/>
        <w:outlineLvl w:val="0"/>
        <w:rPr>
          <w:rFonts w:hint="eastAsia" w:ascii="宋体" w:hAnsi="宋体" w:eastAsia="宋体" w:cs="宋体"/>
          <w:bCs/>
          <w:sz w:val="24"/>
        </w:rPr>
      </w:pPr>
      <w:bookmarkStart w:id="340" w:name="_Toc25996"/>
      <w:bookmarkStart w:id="341" w:name="_Toc14226"/>
      <w:bookmarkStart w:id="342" w:name="_Toc9811"/>
      <w:r>
        <w:rPr>
          <w:rFonts w:hint="eastAsia" w:ascii="宋体" w:hAnsi="宋体" w:eastAsia="宋体" w:cs="宋体"/>
          <w:bCs/>
          <w:sz w:val="24"/>
        </w:rPr>
        <w:t>22.2在综合评审之前，评标委员会要审查每份投标文件是否实质上响应了招标文件的要求。</w:t>
      </w:r>
      <w:bookmarkEnd w:id="340"/>
      <w:bookmarkEnd w:id="341"/>
      <w:r>
        <w:rPr>
          <w:rFonts w:hint="eastAsia" w:ascii="宋体" w:hAnsi="宋体" w:eastAsia="宋体" w:cs="宋体"/>
          <w:bCs/>
          <w:sz w:val="24"/>
        </w:rPr>
        <w:t>评标委员会决定投标文件的响应性只根据投标文件本身的真实无误内容，而不依据外部的证据。</w:t>
      </w:r>
      <w:bookmarkEnd w:id="342"/>
    </w:p>
    <w:p>
      <w:pPr>
        <w:pStyle w:val="12"/>
        <w:spacing w:line="360" w:lineRule="auto"/>
        <w:ind w:left="0" w:leftChars="0" w:firstLine="442" w:firstLineChars="200"/>
        <w:outlineLvl w:val="0"/>
        <w:rPr>
          <w:rFonts w:hint="eastAsia" w:ascii="宋体" w:hAnsi="宋体" w:eastAsia="宋体" w:cs="宋体"/>
          <w:bCs/>
          <w:sz w:val="24"/>
        </w:rPr>
      </w:pPr>
      <w:bookmarkStart w:id="343" w:name="_Toc8312"/>
      <w:bookmarkStart w:id="344" w:name="_Toc11039"/>
      <w:bookmarkStart w:id="345" w:name="_Toc25184"/>
      <w:r>
        <w:rPr>
          <w:rFonts w:hint="eastAsia" w:ascii="宋体" w:hAnsi="宋体" w:eastAsia="宋体" w:cs="宋体"/>
          <w:bCs/>
          <w:sz w:val="24"/>
        </w:rPr>
        <w:t>1）实质性响应的报价是指报价符合招标文件的所有条款、条件和规格且没有重大偏离或保留。</w:t>
      </w:r>
      <w:bookmarkEnd w:id="343"/>
      <w:bookmarkEnd w:id="344"/>
      <w:bookmarkEnd w:id="345"/>
    </w:p>
    <w:p>
      <w:pPr>
        <w:pStyle w:val="12"/>
        <w:spacing w:line="360" w:lineRule="auto"/>
        <w:ind w:left="0" w:leftChars="0" w:firstLine="442" w:firstLineChars="200"/>
        <w:outlineLvl w:val="0"/>
        <w:rPr>
          <w:rFonts w:hint="eastAsia" w:ascii="宋体" w:hAnsi="宋体" w:eastAsia="宋体" w:cs="宋体"/>
          <w:bCs/>
          <w:sz w:val="24"/>
        </w:rPr>
      </w:pPr>
      <w:bookmarkStart w:id="346" w:name="_Toc31547"/>
      <w:bookmarkStart w:id="347" w:name="_Toc23099"/>
      <w:bookmarkStart w:id="348" w:name="_Toc7557"/>
      <w:r>
        <w:rPr>
          <w:rFonts w:hint="eastAsia" w:ascii="宋体" w:hAnsi="宋体" w:eastAsia="宋体" w:cs="宋体"/>
          <w:bCs/>
          <w:sz w:val="24"/>
        </w:rPr>
        <w:t>2）重大偏离不允许在开标后修正，但评标委员会将允许修正报价中不构成重大偏离的地方，这些修正不会对其他实质上响应招标文件要求的投标企业的竞争地位产生不公正的影响。</w:t>
      </w:r>
      <w:bookmarkEnd w:id="346"/>
      <w:bookmarkEnd w:id="347"/>
      <w:bookmarkEnd w:id="348"/>
    </w:p>
    <w:p>
      <w:pPr>
        <w:pStyle w:val="12"/>
        <w:spacing w:line="360" w:lineRule="auto"/>
        <w:ind w:left="0" w:leftChars="0" w:firstLine="442" w:firstLineChars="200"/>
        <w:outlineLvl w:val="0"/>
        <w:rPr>
          <w:rFonts w:hint="eastAsia" w:ascii="宋体" w:hAnsi="宋体" w:eastAsia="宋体" w:cs="宋体"/>
          <w:bCs/>
          <w:sz w:val="24"/>
        </w:rPr>
      </w:pPr>
      <w:bookmarkStart w:id="349" w:name="_Toc28719"/>
      <w:bookmarkStart w:id="350" w:name="_Toc11982"/>
      <w:bookmarkStart w:id="351" w:name="_Toc20311"/>
      <w:r>
        <w:rPr>
          <w:rFonts w:hint="eastAsia" w:ascii="宋体" w:hAnsi="宋体" w:eastAsia="宋体" w:cs="宋体"/>
          <w:bCs/>
          <w:sz w:val="24"/>
        </w:rPr>
        <w:t>3）如出现下列情形之一的，视为对招标文件没有做出实质性响应，按照无效报价处理。</w:t>
      </w:r>
      <w:bookmarkEnd w:id="349"/>
      <w:bookmarkEnd w:id="350"/>
      <w:bookmarkEnd w:id="351"/>
    </w:p>
    <w:p>
      <w:pPr>
        <w:pStyle w:val="12"/>
        <w:spacing w:line="360" w:lineRule="auto"/>
        <w:ind w:left="0" w:leftChars="0" w:firstLine="442" w:firstLineChars="200"/>
        <w:outlineLvl w:val="0"/>
        <w:rPr>
          <w:rFonts w:hint="eastAsia" w:ascii="宋体" w:hAnsi="宋体" w:eastAsia="宋体" w:cs="宋体"/>
          <w:bCs/>
          <w:sz w:val="24"/>
        </w:rPr>
      </w:pPr>
      <w:bookmarkStart w:id="352" w:name="_Toc21809"/>
      <w:bookmarkStart w:id="353" w:name="_Toc14214"/>
      <w:bookmarkStart w:id="354" w:name="_Toc30695"/>
      <w:r>
        <w:rPr>
          <w:rFonts w:hint="eastAsia" w:ascii="宋体" w:hAnsi="宋体" w:eastAsia="宋体" w:cs="宋体"/>
          <w:bCs/>
          <w:sz w:val="24"/>
        </w:rPr>
        <w:t>A、应交未交或未足额交纳投标保证金；</w:t>
      </w:r>
      <w:bookmarkEnd w:id="352"/>
      <w:bookmarkEnd w:id="353"/>
      <w:bookmarkEnd w:id="354"/>
    </w:p>
    <w:p>
      <w:pPr>
        <w:pStyle w:val="12"/>
        <w:spacing w:line="360" w:lineRule="auto"/>
        <w:ind w:left="0" w:leftChars="0" w:firstLine="442" w:firstLineChars="200"/>
        <w:outlineLvl w:val="0"/>
        <w:rPr>
          <w:rFonts w:hint="eastAsia" w:ascii="宋体" w:hAnsi="宋体" w:eastAsia="宋体" w:cs="宋体"/>
          <w:bCs/>
          <w:sz w:val="24"/>
        </w:rPr>
      </w:pPr>
      <w:bookmarkStart w:id="355" w:name="_Toc19645"/>
      <w:bookmarkStart w:id="356" w:name="_Toc174"/>
      <w:bookmarkStart w:id="357" w:name="_Toc14497"/>
      <w:r>
        <w:rPr>
          <w:rFonts w:hint="eastAsia" w:ascii="宋体" w:hAnsi="宋体" w:eastAsia="宋体" w:cs="宋体"/>
          <w:bCs/>
          <w:sz w:val="24"/>
        </w:rPr>
        <w:t>B、不具备招标文件中规定资格要求的、资格证明文件不齐全或无效的；</w:t>
      </w:r>
      <w:bookmarkEnd w:id="355"/>
      <w:bookmarkEnd w:id="356"/>
      <w:bookmarkEnd w:id="357"/>
    </w:p>
    <w:p>
      <w:pPr>
        <w:pStyle w:val="12"/>
        <w:spacing w:line="360" w:lineRule="auto"/>
        <w:ind w:left="0" w:leftChars="0" w:firstLine="442" w:firstLineChars="200"/>
        <w:outlineLvl w:val="0"/>
        <w:rPr>
          <w:rFonts w:hint="eastAsia" w:ascii="宋体" w:hAnsi="宋体" w:eastAsia="宋体" w:cs="宋体"/>
          <w:bCs/>
          <w:sz w:val="24"/>
        </w:rPr>
      </w:pPr>
      <w:bookmarkStart w:id="358" w:name="_Toc28697"/>
      <w:bookmarkStart w:id="359" w:name="_Toc28699"/>
      <w:bookmarkStart w:id="360" w:name="_Toc31932"/>
      <w:r>
        <w:rPr>
          <w:rFonts w:hint="eastAsia" w:ascii="宋体" w:hAnsi="宋体" w:eastAsia="宋体" w:cs="宋体"/>
          <w:bCs/>
          <w:sz w:val="24"/>
        </w:rPr>
        <w:t>C、未按照招标文件要求密封、签署、装订的；</w:t>
      </w:r>
      <w:bookmarkEnd w:id="358"/>
      <w:bookmarkEnd w:id="359"/>
      <w:bookmarkEnd w:id="360"/>
    </w:p>
    <w:p>
      <w:pPr>
        <w:pStyle w:val="12"/>
        <w:spacing w:line="360" w:lineRule="auto"/>
        <w:ind w:left="0" w:leftChars="0" w:firstLine="442" w:firstLineChars="200"/>
        <w:outlineLvl w:val="0"/>
        <w:rPr>
          <w:rFonts w:hint="eastAsia" w:ascii="宋体" w:hAnsi="宋体" w:eastAsia="宋体" w:cs="宋体"/>
          <w:bCs/>
          <w:sz w:val="24"/>
        </w:rPr>
      </w:pPr>
      <w:bookmarkStart w:id="361" w:name="_Toc31321"/>
      <w:bookmarkStart w:id="362" w:name="_Toc559"/>
      <w:bookmarkStart w:id="363" w:name="_Toc17165"/>
      <w:r>
        <w:rPr>
          <w:rFonts w:hint="eastAsia" w:ascii="宋体" w:hAnsi="宋体" w:eastAsia="宋体" w:cs="宋体"/>
          <w:bCs/>
          <w:sz w:val="24"/>
        </w:rPr>
        <w:t>D、投标有效期不足的；</w:t>
      </w:r>
      <w:bookmarkEnd w:id="361"/>
      <w:bookmarkEnd w:id="362"/>
      <w:bookmarkEnd w:id="363"/>
    </w:p>
    <w:p>
      <w:pPr>
        <w:pStyle w:val="12"/>
        <w:spacing w:line="360" w:lineRule="auto"/>
        <w:ind w:left="0" w:leftChars="0" w:firstLine="442" w:firstLineChars="200"/>
        <w:outlineLvl w:val="0"/>
        <w:rPr>
          <w:rFonts w:hint="eastAsia" w:ascii="宋体" w:hAnsi="宋体" w:eastAsia="宋体" w:cs="宋体"/>
          <w:bCs/>
          <w:sz w:val="24"/>
        </w:rPr>
      </w:pPr>
      <w:bookmarkStart w:id="364" w:name="_Toc20158"/>
      <w:bookmarkStart w:id="365" w:name="_Toc8414"/>
      <w:bookmarkStart w:id="366" w:name="_Toc29104"/>
      <w:r>
        <w:rPr>
          <w:rFonts w:hint="eastAsia" w:ascii="宋体" w:hAnsi="宋体" w:eastAsia="宋体" w:cs="宋体"/>
          <w:bCs/>
          <w:sz w:val="24"/>
        </w:rPr>
        <w:t>E、不符合法律法规规定或招标文件中规定的其他实质性要求的；</w:t>
      </w:r>
      <w:bookmarkEnd w:id="364"/>
      <w:bookmarkEnd w:id="365"/>
      <w:bookmarkEnd w:id="366"/>
    </w:p>
    <w:p>
      <w:pPr>
        <w:pStyle w:val="12"/>
        <w:spacing w:line="360" w:lineRule="auto"/>
        <w:ind w:left="0" w:leftChars="0" w:firstLine="442" w:firstLineChars="200"/>
        <w:outlineLvl w:val="0"/>
        <w:rPr>
          <w:rFonts w:hint="eastAsia" w:ascii="宋体" w:hAnsi="宋体" w:eastAsia="宋体" w:cs="宋体"/>
          <w:bCs/>
          <w:sz w:val="24"/>
        </w:rPr>
      </w:pPr>
      <w:bookmarkStart w:id="367" w:name="_Toc27366"/>
      <w:bookmarkStart w:id="368" w:name="_Toc26108"/>
      <w:bookmarkStart w:id="369" w:name="_Toc14750"/>
      <w:r>
        <w:rPr>
          <w:rFonts w:hint="eastAsia" w:ascii="宋体" w:hAnsi="宋体" w:eastAsia="宋体" w:cs="宋体"/>
          <w:bCs/>
          <w:sz w:val="24"/>
        </w:rPr>
        <w:t>F、投标企业不参加开标仪式及询标事宜；</w:t>
      </w:r>
      <w:bookmarkEnd w:id="367"/>
      <w:bookmarkEnd w:id="368"/>
      <w:bookmarkEnd w:id="369"/>
    </w:p>
    <w:p>
      <w:pPr>
        <w:pStyle w:val="12"/>
        <w:spacing w:line="360" w:lineRule="auto"/>
        <w:ind w:left="0" w:leftChars="0" w:firstLine="442" w:firstLineChars="200"/>
        <w:outlineLvl w:val="0"/>
        <w:rPr>
          <w:rFonts w:hint="eastAsia" w:ascii="宋体" w:hAnsi="宋体" w:eastAsia="宋体" w:cs="宋体"/>
          <w:bCs/>
          <w:sz w:val="24"/>
        </w:rPr>
      </w:pPr>
      <w:bookmarkStart w:id="370" w:name="_Toc28674"/>
      <w:bookmarkStart w:id="371" w:name="_Toc16194"/>
      <w:bookmarkStart w:id="372" w:name="_Toc28008"/>
      <w:r>
        <w:rPr>
          <w:rFonts w:hint="eastAsia" w:ascii="宋体" w:hAnsi="宋体" w:eastAsia="宋体" w:cs="宋体"/>
          <w:bCs/>
          <w:sz w:val="24"/>
        </w:rPr>
        <w:t>G、投标文件中的技术服务要求明显不符合招标文件要求；</w:t>
      </w:r>
      <w:bookmarkEnd w:id="370"/>
      <w:bookmarkEnd w:id="371"/>
      <w:bookmarkEnd w:id="372"/>
    </w:p>
    <w:p>
      <w:pPr>
        <w:pStyle w:val="12"/>
        <w:spacing w:line="360" w:lineRule="auto"/>
        <w:ind w:left="0" w:leftChars="0" w:firstLine="442" w:firstLineChars="200"/>
        <w:outlineLvl w:val="0"/>
        <w:rPr>
          <w:rFonts w:hint="eastAsia" w:ascii="宋体" w:hAnsi="宋体" w:eastAsia="宋体" w:cs="宋体"/>
          <w:bCs/>
          <w:sz w:val="24"/>
        </w:rPr>
      </w:pPr>
      <w:bookmarkStart w:id="373" w:name="_Toc10534"/>
      <w:bookmarkStart w:id="374" w:name="_Toc665"/>
      <w:bookmarkStart w:id="375" w:name="_Toc9887"/>
      <w:r>
        <w:rPr>
          <w:rFonts w:hint="eastAsia" w:ascii="宋体" w:hAnsi="宋体" w:eastAsia="宋体" w:cs="宋体"/>
          <w:bCs/>
          <w:sz w:val="24"/>
        </w:rPr>
        <w:t>H、其他。</w:t>
      </w:r>
      <w:bookmarkEnd w:id="373"/>
      <w:bookmarkEnd w:id="374"/>
      <w:bookmarkEnd w:id="375"/>
    </w:p>
    <w:p>
      <w:pPr>
        <w:pStyle w:val="12"/>
        <w:spacing w:line="360" w:lineRule="auto"/>
        <w:ind w:left="0" w:leftChars="0" w:firstLine="442" w:firstLineChars="200"/>
        <w:outlineLvl w:val="0"/>
        <w:rPr>
          <w:rFonts w:hint="eastAsia" w:ascii="宋体" w:hAnsi="宋体" w:eastAsia="宋体" w:cs="宋体"/>
          <w:bCs/>
          <w:sz w:val="24"/>
        </w:rPr>
      </w:pPr>
      <w:bookmarkStart w:id="376" w:name="_Toc448"/>
      <w:bookmarkStart w:id="377" w:name="_Toc30953"/>
      <w:bookmarkStart w:id="378" w:name="_Toc29000"/>
      <w:r>
        <w:rPr>
          <w:rFonts w:hint="eastAsia" w:ascii="宋体" w:hAnsi="宋体" w:eastAsia="宋体" w:cs="宋体"/>
          <w:bCs/>
          <w:sz w:val="24"/>
        </w:rPr>
        <w:t>4)评标委员会将拒绝被确定为非实质性响应的投标文件，投标企业不能通过修正或撤销投标文件中的不符之处而使其报价成为实质性响应的报价。</w:t>
      </w:r>
      <w:bookmarkEnd w:id="376"/>
      <w:bookmarkEnd w:id="377"/>
      <w:bookmarkEnd w:id="378"/>
    </w:p>
    <w:p>
      <w:pPr>
        <w:pStyle w:val="12"/>
        <w:spacing w:line="360" w:lineRule="auto"/>
        <w:ind w:left="0" w:leftChars="0" w:firstLine="442" w:firstLineChars="200"/>
        <w:outlineLvl w:val="0"/>
        <w:rPr>
          <w:rFonts w:hint="eastAsia" w:ascii="宋体" w:hAnsi="宋体" w:eastAsia="宋体" w:cs="宋体"/>
          <w:bCs/>
          <w:sz w:val="24"/>
        </w:rPr>
      </w:pPr>
      <w:bookmarkStart w:id="379" w:name="_Toc6821"/>
      <w:bookmarkStart w:id="380" w:name="_Toc790"/>
      <w:bookmarkStart w:id="381" w:name="_Toc5012"/>
      <w:r>
        <w:rPr>
          <w:rFonts w:hint="eastAsia" w:ascii="宋体" w:hAnsi="宋体" w:eastAsia="宋体" w:cs="宋体"/>
          <w:bCs/>
          <w:sz w:val="24"/>
        </w:rPr>
        <w:t>22.3 初审中，对明显的文字和计算错误按下述原则处理：</w:t>
      </w:r>
      <w:bookmarkEnd w:id="379"/>
      <w:bookmarkEnd w:id="380"/>
      <w:bookmarkEnd w:id="381"/>
    </w:p>
    <w:p>
      <w:pPr>
        <w:pStyle w:val="12"/>
        <w:spacing w:line="360" w:lineRule="auto"/>
        <w:ind w:left="0" w:leftChars="0" w:firstLine="442" w:firstLineChars="200"/>
        <w:outlineLvl w:val="0"/>
        <w:rPr>
          <w:rFonts w:hint="eastAsia" w:ascii="宋体" w:hAnsi="宋体" w:eastAsia="宋体" w:cs="宋体"/>
          <w:bCs/>
          <w:sz w:val="24"/>
        </w:rPr>
      </w:pPr>
      <w:bookmarkStart w:id="382" w:name="_Toc14460"/>
      <w:bookmarkStart w:id="383" w:name="_Toc14210"/>
      <w:bookmarkStart w:id="384" w:name="_Toc25142"/>
      <w:r>
        <w:rPr>
          <w:rFonts w:hint="eastAsia" w:ascii="宋体" w:hAnsi="宋体" w:eastAsia="宋体" w:cs="宋体"/>
          <w:bCs/>
          <w:sz w:val="24"/>
        </w:rPr>
        <w:t>1）如果以文字表示的数据与数字表示的有差别，以文字为准。如果大写金额和小写金额不一致的，以大写金额为准；大写金额错误导致无法读取的，按无效报价处理。</w:t>
      </w:r>
      <w:bookmarkEnd w:id="382"/>
      <w:bookmarkEnd w:id="383"/>
      <w:bookmarkEnd w:id="384"/>
    </w:p>
    <w:p>
      <w:pPr>
        <w:pStyle w:val="12"/>
        <w:spacing w:line="360" w:lineRule="auto"/>
        <w:ind w:left="0" w:leftChars="0" w:firstLine="442" w:firstLineChars="200"/>
        <w:outlineLvl w:val="0"/>
        <w:rPr>
          <w:rFonts w:hint="eastAsia" w:ascii="宋体" w:hAnsi="宋体" w:eastAsia="宋体" w:cs="宋体"/>
          <w:bCs/>
          <w:sz w:val="24"/>
        </w:rPr>
      </w:pPr>
      <w:bookmarkStart w:id="385" w:name="_Toc3715"/>
      <w:bookmarkStart w:id="386" w:name="_Toc5898"/>
      <w:bookmarkStart w:id="387" w:name="_Toc21807"/>
      <w:r>
        <w:rPr>
          <w:rFonts w:hint="eastAsia" w:ascii="宋体" w:hAnsi="宋体" w:eastAsia="宋体" w:cs="宋体"/>
          <w:bCs/>
          <w:sz w:val="24"/>
        </w:rPr>
        <w:t>2）单价金额小数点有明显错位的，应以总价为准，并修改单价。</w:t>
      </w:r>
      <w:bookmarkEnd w:id="385"/>
      <w:bookmarkEnd w:id="386"/>
      <w:bookmarkEnd w:id="387"/>
    </w:p>
    <w:p>
      <w:pPr>
        <w:pStyle w:val="12"/>
        <w:spacing w:line="360" w:lineRule="auto"/>
        <w:ind w:left="0" w:leftChars="0" w:firstLine="442" w:firstLineChars="200"/>
        <w:outlineLvl w:val="0"/>
        <w:rPr>
          <w:rFonts w:hint="eastAsia" w:ascii="宋体" w:hAnsi="宋体" w:eastAsia="宋体" w:cs="宋体"/>
          <w:bCs/>
          <w:sz w:val="24"/>
        </w:rPr>
      </w:pPr>
      <w:bookmarkStart w:id="388" w:name="_Toc24162"/>
      <w:bookmarkStart w:id="389" w:name="_Toc14189"/>
      <w:bookmarkStart w:id="390" w:name="_Toc16380"/>
      <w:r>
        <w:rPr>
          <w:rFonts w:hint="eastAsia" w:ascii="宋体" w:hAnsi="宋体" w:eastAsia="宋体" w:cs="宋体"/>
          <w:bCs/>
          <w:sz w:val="24"/>
        </w:rPr>
        <w:t>3）调整后的数据对投标企业具有约束力，投标企业不同意以上修正，其报价将被拒绝。</w:t>
      </w:r>
      <w:bookmarkEnd w:id="388"/>
      <w:bookmarkEnd w:id="389"/>
      <w:bookmarkEnd w:id="390"/>
    </w:p>
    <w:p>
      <w:pPr>
        <w:pStyle w:val="12"/>
        <w:spacing w:line="360" w:lineRule="auto"/>
        <w:ind w:left="0" w:leftChars="0" w:firstLine="442" w:firstLineChars="200"/>
        <w:outlineLvl w:val="0"/>
        <w:rPr>
          <w:rFonts w:hint="eastAsia" w:ascii="宋体" w:hAnsi="宋体" w:eastAsia="宋体" w:cs="宋体"/>
          <w:bCs/>
          <w:sz w:val="24"/>
        </w:rPr>
      </w:pPr>
      <w:bookmarkStart w:id="391" w:name="_Toc4080"/>
      <w:bookmarkStart w:id="392" w:name="_Toc20427"/>
      <w:bookmarkStart w:id="393" w:name="_Toc29123"/>
      <w:r>
        <w:rPr>
          <w:rFonts w:hint="eastAsia" w:ascii="宋体" w:hAnsi="宋体" w:eastAsia="宋体" w:cs="宋体"/>
          <w:bCs/>
          <w:sz w:val="24"/>
        </w:rPr>
        <w:t>23.  投标文件的澄清</w:t>
      </w:r>
      <w:bookmarkEnd w:id="391"/>
      <w:bookmarkEnd w:id="392"/>
      <w:bookmarkEnd w:id="393"/>
    </w:p>
    <w:p>
      <w:pPr>
        <w:pStyle w:val="12"/>
        <w:spacing w:line="360" w:lineRule="auto"/>
        <w:ind w:left="0" w:leftChars="0" w:firstLine="442" w:firstLineChars="200"/>
        <w:outlineLvl w:val="0"/>
        <w:rPr>
          <w:rFonts w:hint="eastAsia" w:ascii="宋体" w:hAnsi="宋体" w:eastAsia="宋体" w:cs="宋体"/>
          <w:bCs/>
          <w:sz w:val="24"/>
        </w:rPr>
      </w:pPr>
      <w:bookmarkStart w:id="394" w:name="_Toc7339"/>
      <w:bookmarkStart w:id="395" w:name="_Toc1042"/>
      <w:bookmarkStart w:id="396" w:name="_Toc13969"/>
      <w:r>
        <w:rPr>
          <w:rFonts w:hint="eastAsia" w:ascii="宋体" w:hAnsi="宋体" w:eastAsia="宋体" w:cs="宋体"/>
          <w:bCs/>
          <w:sz w:val="24"/>
        </w:rPr>
        <w:t>23.1为有助于对投标文件进行审查，评标委员会有权向投标企业询问。评标委员会有权以书面形式要求投标企业对其投标文件中含义不明确、同类问题表述不一致或者有明显文字和计算错误的内容作出必要的澄清、说明或者补正。但投标企业的澄清、说明或者补正应当采用书面形式，由其法定代表人或授权代表签字，并不得超出投标文件的范围或改变投标文件的实质性内容。投标企业澄清、说明或者补正的内容构成投标文件的组成部分。投标企业拒不按照要求对投标文件进行澄清、说明或者补正的，评标委员会可拒绝该报价。</w:t>
      </w:r>
      <w:bookmarkEnd w:id="394"/>
      <w:bookmarkEnd w:id="395"/>
      <w:bookmarkEnd w:id="396"/>
    </w:p>
    <w:p>
      <w:pPr>
        <w:pStyle w:val="12"/>
        <w:spacing w:line="360" w:lineRule="auto"/>
        <w:ind w:left="0" w:leftChars="0" w:firstLine="442" w:firstLineChars="200"/>
        <w:outlineLvl w:val="0"/>
        <w:rPr>
          <w:rFonts w:hint="eastAsia" w:ascii="宋体" w:hAnsi="宋体" w:eastAsia="宋体" w:cs="宋体"/>
          <w:bCs/>
          <w:sz w:val="24"/>
        </w:rPr>
      </w:pPr>
      <w:bookmarkStart w:id="397" w:name="_Toc3522"/>
      <w:bookmarkStart w:id="398" w:name="_Toc14932"/>
      <w:bookmarkStart w:id="399" w:name="_Toc29792"/>
      <w:r>
        <w:rPr>
          <w:rFonts w:hint="eastAsia" w:ascii="宋体" w:hAnsi="宋体" w:eastAsia="宋体" w:cs="宋体"/>
          <w:bCs/>
          <w:sz w:val="24"/>
        </w:rPr>
        <w:t>23.2如评标委员会一致认为某个投标企业的报价明显不合理，有降低质量、不能诚信履行的可能时，评标委员会有权决定是否通知投标企业限期进行书面解释或提供相关证明材料。若已要求，而该投标企业在规定期限内未做出解释、作出的解释不合理或不能提供证明材料的，经评标委员会取得一致意见后，可拒绝该报价。</w:t>
      </w:r>
      <w:bookmarkEnd w:id="397"/>
      <w:bookmarkEnd w:id="398"/>
      <w:bookmarkEnd w:id="399"/>
    </w:p>
    <w:p>
      <w:pPr>
        <w:pStyle w:val="12"/>
        <w:spacing w:line="360" w:lineRule="auto"/>
        <w:ind w:left="0" w:leftChars="0" w:firstLine="442" w:firstLineChars="200"/>
        <w:outlineLvl w:val="0"/>
        <w:rPr>
          <w:rFonts w:hint="eastAsia" w:ascii="宋体" w:hAnsi="宋体" w:eastAsia="宋体" w:cs="宋体"/>
          <w:bCs/>
          <w:sz w:val="24"/>
        </w:rPr>
      </w:pPr>
      <w:bookmarkStart w:id="400" w:name="_Toc8019"/>
      <w:bookmarkStart w:id="401" w:name="_Toc18475"/>
      <w:bookmarkStart w:id="402" w:name="_Toc7276"/>
      <w:r>
        <w:rPr>
          <w:rFonts w:hint="eastAsia" w:ascii="宋体" w:hAnsi="宋体" w:eastAsia="宋体" w:cs="宋体"/>
          <w:bCs/>
          <w:sz w:val="24"/>
        </w:rPr>
        <w:t>24．综合评审法：</w:t>
      </w:r>
      <w:bookmarkEnd w:id="400"/>
    </w:p>
    <w:bookmarkEnd w:id="401"/>
    <w:bookmarkEnd w:id="402"/>
    <w:p>
      <w:pPr>
        <w:pStyle w:val="12"/>
        <w:spacing w:line="360" w:lineRule="auto"/>
        <w:ind w:left="0" w:leftChars="0" w:firstLine="442" w:firstLineChars="200"/>
        <w:outlineLvl w:val="0"/>
        <w:rPr>
          <w:rFonts w:hint="eastAsia" w:ascii="宋体" w:hAnsi="宋体" w:eastAsia="宋体" w:cs="宋体"/>
          <w:bCs/>
          <w:sz w:val="24"/>
        </w:rPr>
      </w:pPr>
      <w:bookmarkStart w:id="403" w:name="_Toc17671"/>
      <w:bookmarkStart w:id="404" w:name="_Toc519332209"/>
      <w:bookmarkStart w:id="405" w:name="_Toc6767"/>
      <w:bookmarkStart w:id="406" w:name="_Toc9454"/>
      <w:r>
        <w:rPr>
          <w:rFonts w:hint="eastAsia" w:ascii="宋体" w:hAnsi="宋体" w:eastAsia="宋体" w:cs="宋体"/>
          <w:bCs/>
          <w:sz w:val="24"/>
        </w:rPr>
        <w:t>24.1评标办法</w:t>
      </w:r>
      <w:bookmarkEnd w:id="403"/>
      <w:bookmarkEnd w:id="404"/>
    </w:p>
    <w:tbl>
      <w:tblPr>
        <w:tblStyle w:val="2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70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04" w:type="dxa"/>
            <w:vAlign w:val="center"/>
          </w:tcPr>
          <w:p>
            <w:pPr>
              <w:tabs>
                <w:tab w:val="left" w:pos="567"/>
              </w:tabs>
              <w:spacing w:line="500" w:lineRule="exact"/>
              <w:jc w:val="center"/>
              <w:rPr>
                <w:rFonts w:hint="eastAsia" w:ascii="宋体" w:hAnsi="宋体" w:eastAsia="宋体" w:cs="宋体"/>
                <w:bCs/>
                <w:color w:val="000000"/>
                <w:szCs w:val="21"/>
              </w:rPr>
            </w:pPr>
            <w:bookmarkStart w:id="407" w:name="_Toc519332210"/>
            <w:bookmarkStart w:id="408" w:name="_Toc9526"/>
            <w:r>
              <w:rPr>
                <w:rFonts w:hint="eastAsia" w:ascii="宋体" w:hAnsi="宋体" w:eastAsia="宋体" w:cs="宋体"/>
                <w:bCs/>
                <w:color w:val="000000"/>
                <w:szCs w:val="21"/>
              </w:rPr>
              <w:t>序号</w:t>
            </w:r>
          </w:p>
        </w:tc>
        <w:tc>
          <w:tcPr>
            <w:tcW w:w="1276"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评分因素</w:t>
            </w:r>
          </w:p>
        </w:tc>
        <w:tc>
          <w:tcPr>
            <w:tcW w:w="709"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分值</w:t>
            </w:r>
          </w:p>
        </w:tc>
        <w:tc>
          <w:tcPr>
            <w:tcW w:w="6520"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04"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1</w:t>
            </w:r>
          </w:p>
        </w:tc>
        <w:tc>
          <w:tcPr>
            <w:tcW w:w="1276"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报价评分标准30分</w:t>
            </w:r>
          </w:p>
        </w:tc>
        <w:tc>
          <w:tcPr>
            <w:tcW w:w="709"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30</w:t>
            </w:r>
          </w:p>
        </w:tc>
        <w:tc>
          <w:tcPr>
            <w:tcW w:w="6520" w:type="dxa"/>
            <w:vAlign w:val="center"/>
          </w:tcPr>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根据投标方对餐标中食材占比情况，给予10-30分，其中</w:t>
            </w:r>
          </w:p>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食材成本占比70%及以上 评分30;</w:t>
            </w:r>
          </w:p>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食材成本占比65%-70%（不含）及以上 评分25;</w:t>
            </w:r>
          </w:p>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食材成本占比60%-65%（不含）及以上 评分20;</w:t>
            </w:r>
          </w:p>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食材成本占比55%-60%（不含）及以上 评分15;</w:t>
            </w:r>
          </w:p>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食材成本占比50%-55%（不含）及以上 评分10;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704" w:type="dxa"/>
            <w:vMerge w:val="restart"/>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2</w:t>
            </w:r>
          </w:p>
        </w:tc>
        <w:tc>
          <w:tcPr>
            <w:tcW w:w="1276" w:type="dxa"/>
            <w:vMerge w:val="restart"/>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商务部分</w:t>
            </w:r>
          </w:p>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15分</w:t>
            </w:r>
          </w:p>
        </w:tc>
        <w:tc>
          <w:tcPr>
            <w:tcW w:w="709"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4</w:t>
            </w:r>
          </w:p>
        </w:tc>
        <w:tc>
          <w:tcPr>
            <w:tcW w:w="6520" w:type="dxa"/>
            <w:vAlign w:val="center"/>
          </w:tcPr>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业绩：投标人近3年（2020年1月1日至今）同等规模餐厅运营管理服务项目（同时具有承接过300人以上单位餐厅委托管理项目且无重大食品安全事故业绩）（提供合同或协议原件，投标文件中</w:t>
            </w:r>
            <w:r>
              <w:rPr>
                <w:rFonts w:hint="eastAsia" w:ascii="宋体" w:hAnsi="宋体" w:eastAsia="宋体" w:cs="宋体"/>
                <w:bCs/>
                <w:szCs w:val="21"/>
              </w:rPr>
              <w:t>须</w:t>
            </w:r>
            <w:r>
              <w:rPr>
                <w:rFonts w:hint="eastAsia" w:ascii="宋体" w:hAnsi="宋体" w:eastAsia="宋体" w:cs="宋体"/>
                <w:bCs/>
                <w:color w:val="000000"/>
                <w:szCs w:val="21"/>
              </w:rPr>
              <w:t>同时胶装加盖公章的合同或协议扫描件）。日期以签订合同为准。</w:t>
            </w:r>
          </w:p>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每提供一份有效的业绩证明材料得1分，本项最多得4分。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4"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1276"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709"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5</w:t>
            </w:r>
          </w:p>
        </w:tc>
        <w:tc>
          <w:tcPr>
            <w:tcW w:w="6520" w:type="dxa"/>
            <w:vAlign w:val="center"/>
          </w:tcPr>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履约保证金：根据投标单位履约保证金的缴纳金额，酌情给予0-5分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04"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1276"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709"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3</w:t>
            </w:r>
          </w:p>
        </w:tc>
        <w:tc>
          <w:tcPr>
            <w:tcW w:w="6520" w:type="dxa"/>
            <w:vAlign w:val="center"/>
          </w:tcPr>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公司实力：根据投标单位的综合实力、机构设置、公司场地、运营规模、经营状况进行评比，酌情给予0-3分。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04"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1276"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709"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2</w:t>
            </w:r>
          </w:p>
        </w:tc>
        <w:tc>
          <w:tcPr>
            <w:tcW w:w="6520" w:type="dxa"/>
            <w:vAlign w:val="center"/>
          </w:tcPr>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财务状况：根据投标单位得财务报表、经营情况进行评定，酌情给予0-2分。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04"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1276"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709"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1</w:t>
            </w:r>
          </w:p>
        </w:tc>
        <w:tc>
          <w:tcPr>
            <w:tcW w:w="6520" w:type="dxa"/>
            <w:vAlign w:val="center"/>
          </w:tcPr>
          <w:p>
            <w:pPr>
              <w:tabs>
                <w:tab w:val="left" w:pos="567"/>
              </w:tabs>
              <w:spacing w:line="400" w:lineRule="exact"/>
              <w:rPr>
                <w:rFonts w:hint="eastAsia" w:ascii="宋体" w:hAnsi="宋体" w:eastAsia="宋体" w:cs="宋体"/>
                <w:bCs/>
                <w:color w:val="000000"/>
                <w:szCs w:val="21"/>
              </w:rPr>
            </w:pPr>
            <w:r>
              <w:rPr>
                <w:rFonts w:hint="eastAsia" w:ascii="宋体" w:hAnsi="宋体" w:eastAsia="宋体" w:cs="宋体"/>
                <w:bCs/>
                <w:color w:val="000000"/>
                <w:szCs w:val="21"/>
              </w:rPr>
              <w:t>对响应文件制作情况进行比较评价：文件制作是否规范，内容是否完整，文字是否清晰，文件中对服务等各部分的描述是否准确，得分 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704" w:type="dxa"/>
            <w:vMerge w:val="restart"/>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3</w:t>
            </w:r>
          </w:p>
        </w:tc>
        <w:tc>
          <w:tcPr>
            <w:tcW w:w="1276" w:type="dxa"/>
            <w:vMerge w:val="restart"/>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服务部分</w:t>
            </w:r>
          </w:p>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55分</w:t>
            </w:r>
          </w:p>
        </w:tc>
        <w:tc>
          <w:tcPr>
            <w:tcW w:w="709"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5</w:t>
            </w:r>
          </w:p>
        </w:tc>
        <w:tc>
          <w:tcPr>
            <w:tcW w:w="6520" w:type="dxa"/>
            <w:vAlign w:val="center"/>
          </w:tcPr>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人员配备及说明：根据投标单位针对本项目拟派服务人员综合素质、从业经历、专业性、搭配合理性、技艺、人员稳定性等情况，酌情给予0-5分。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04"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1276"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709"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5</w:t>
            </w:r>
          </w:p>
        </w:tc>
        <w:tc>
          <w:tcPr>
            <w:tcW w:w="6520" w:type="dxa"/>
            <w:vAlign w:val="center"/>
          </w:tcPr>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管理评价：根据投标单位制定针对本项目人员管理、专业技能及安全意识培训、食材管理、考核等内容进行评价，酌情给予0-5分。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04"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1276"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709"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15</w:t>
            </w:r>
          </w:p>
        </w:tc>
        <w:tc>
          <w:tcPr>
            <w:tcW w:w="6520" w:type="dxa"/>
            <w:vAlign w:val="center"/>
          </w:tcPr>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重点工作方案（包括但不限于以下方案）：</w:t>
            </w:r>
          </w:p>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1.供货及运营方案；</w:t>
            </w:r>
          </w:p>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2.货单、账单、对账管理能力；</w:t>
            </w:r>
          </w:p>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3.投标人分拣设施流程、储存流程；</w:t>
            </w:r>
          </w:p>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4.食材质量保障方案；</w:t>
            </w:r>
          </w:p>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5.交货验收标准</w:t>
            </w:r>
          </w:p>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6.成本控制方案</w:t>
            </w:r>
          </w:p>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7.日常管理方案</w:t>
            </w:r>
          </w:p>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上述7项内容，每全面细致阐述一项并对该项内容重点、难点、针对性、可行性进行分析，酌情给予1-3分，合计15分。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04"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1276"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709"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5</w:t>
            </w:r>
          </w:p>
        </w:tc>
        <w:tc>
          <w:tcPr>
            <w:tcW w:w="6520" w:type="dxa"/>
            <w:vAlign w:val="center"/>
          </w:tcPr>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运输设备：投标人有无专门运输配送车辆及冷藏车辆（所有车辆需提供正面照片及车辆登记证书，行驶证的扫描件加盖本单位公章，证明材料不全的不得分），酌情给予0-5分。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04"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1276"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709"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5</w:t>
            </w:r>
          </w:p>
        </w:tc>
        <w:tc>
          <w:tcPr>
            <w:tcW w:w="6520" w:type="dxa"/>
            <w:vAlign w:val="center"/>
          </w:tcPr>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配送方案：根据投标人配送方案的完善性，针对性及运输措施，是否能够做到一站式配送，酌情给予0-5分。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704"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1276"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709" w:type="dxa"/>
            <w:vAlign w:val="center"/>
          </w:tcPr>
          <w:p>
            <w:pPr>
              <w:tabs>
                <w:tab w:val="left" w:pos="567"/>
              </w:tabs>
              <w:spacing w:line="500" w:lineRule="exact"/>
              <w:jc w:val="center"/>
              <w:rPr>
                <w:rFonts w:hint="eastAsia" w:ascii="宋体" w:hAnsi="宋体" w:eastAsia="宋体" w:cs="宋体"/>
                <w:bCs/>
                <w:color w:val="000000"/>
                <w:szCs w:val="21"/>
              </w:rPr>
            </w:pPr>
            <w:r>
              <w:rPr>
                <w:rFonts w:hint="eastAsia" w:ascii="宋体" w:hAnsi="宋体" w:eastAsia="宋体" w:cs="宋体"/>
                <w:szCs w:val="21"/>
              </w:rPr>
              <w:t>5</w:t>
            </w:r>
          </w:p>
        </w:tc>
        <w:tc>
          <w:tcPr>
            <w:tcW w:w="6520" w:type="dxa"/>
            <w:vAlign w:val="center"/>
          </w:tcPr>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货物来源和存储能力：货物来源是否充足，渠道是否正规合法有保障，货物质量的相关保障设施、设备及能力，酌情给予0-3分。</w:t>
            </w:r>
          </w:p>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是否有固定且符合相关标准的存储仓库、冷藏仓库（此项需提供图片、文字性说明以及房屋产权证或场地租赁合同等相关证明文件的扫描件并加盖本单位公章），及日常管理措施流程，酌情给予0-2分。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1276"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709" w:type="dxa"/>
            <w:vAlign w:val="center"/>
          </w:tcPr>
          <w:p>
            <w:pPr>
              <w:tabs>
                <w:tab w:val="left" w:pos="567"/>
              </w:tabs>
              <w:spacing w:line="500" w:lineRule="exact"/>
              <w:jc w:val="center"/>
              <w:rPr>
                <w:rFonts w:hint="eastAsia" w:ascii="宋体" w:hAnsi="宋体" w:eastAsia="宋体" w:cs="宋体"/>
                <w:szCs w:val="21"/>
              </w:rPr>
            </w:pPr>
            <w:r>
              <w:rPr>
                <w:rFonts w:hint="eastAsia" w:ascii="宋体" w:hAnsi="宋体" w:eastAsia="宋体" w:cs="宋体"/>
                <w:szCs w:val="21"/>
              </w:rPr>
              <w:t>5</w:t>
            </w:r>
          </w:p>
        </w:tc>
        <w:tc>
          <w:tcPr>
            <w:tcW w:w="6520" w:type="dxa"/>
            <w:vAlign w:val="center"/>
          </w:tcPr>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应急保障方案：据投标人对配餐过程中出现的临时性任务、食品安全事件、运输突发事件等采取应急保障方案，就方案的阐述清晰、针对性、可操作性进行评审，酌情给予0-5分。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1276" w:type="dxa"/>
            <w:vMerge w:val="continue"/>
            <w:vAlign w:val="center"/>
          </w:tcPr>
          <w:p>
            <w:pPr>
              <w:tabs>
                <w:tab w:val="left" w:pos="567"/>
              </w:tabs>
              <w:spacing w:line="500" w:lineRule="exact"/>
              <w:jc w:val="center"/>
              <w:rPr>
                <w:rFonts w:hint="eastAsia" w:ascii="宋体" w:hAnsi="宋体" w:eastAsia="宋体" w:cs="宋体"/>
                <w:bCs/>
                <w:color w:val="000000"/>
                <w:szCs w:val="21"/>
              </w:rPr>
            </w:pPr>
          </w:p>
        </w:tc>
        <w:tc>
          <w:tcPr>
            <w:tcW w:w="709" w:type="dxa"/>
            <w:vAlign w:val="center"/>
          </w:tcPr>
          <w:p>
            <w:pPr>
              <w:tabs>
                <w:tab w:val="left" w:pos="567"/>
              </w:tabs>
              <w:spacing w:line="500" w:lineRule="exact"/>
              <w:jc w:val="center"/>
              <w:rPr>
                <w:rFonts w:hint="eastAsia" w:ascii="宋体" w:hAnsi="宋体" w:eastAsia="宋体" w:cs="宋体"/>
                <w:szCs w:val="21"/>
              </w:rPr>
            </w:pPr>
            <w:r>
              <w:rPr>
                <w:rFonts w:hint="eastAsia" w:ascii="宋体" w:hAnsi="宋体" w:eastAsia="宋体" w:cs="宋体"/>
                <w:szCs w:val="21"/>
              </w:rPr>
              <w:t>6</w:t>
            </w:r>
          </w:p>
        </w:tc>
        <w:tc>
          <w:tcPr>
            <w:tcW w:w="6520" w:type="dxa"/>
            <w:vAlign w:val="center"/>
          </w:tcPr>
          <w:p>
            <w:pPr>
              <w:tabs>
                <w:tab w:val="left" w:pos="567"/>
              </w:tabs>
              <w:spacing w:line="500" w:lineRule="exact"/>
              <w:rPr>
                <w:rFonts w:hint="eastAsia" w:ascii="宋体" w:hAnsi="宋体" w:eastAsia="宋体" w:cs="宋体"/>
                <w:bCs/>
                <w:color w:val="000000"/>
                <w:szCs w:val="21"/>
              </w:rPr>
            </w:pPr>
            <w:r>
              <w:rPr>
                <w:rFonts w:hint="eastAsia" w:ascii="宋体" w:hAnsi="宋体" w:eastAsia="宋体" w:cs="宋体"/>
                <w:bCs/>
                <w:color w:val="000000"/>
                <w:szCs w:val="21"/>
              </w:rPr>
              <w:t>工会生活委员会评分：根据考察食堂现场情况综合评分，依照评分结果计入0-10分，无此项评分投标无效.</w:t>
            </w:r>
          </w:p>
        </w:tc>
      </w:tr>
    </w:tbl>
    <w:p>
      <w:pPr>
        <w:pStyle w:val="12"/>
        <w:spacing w:line="360" w:lineRule="auto"/>
        <w:ind w:left="0" w:leftChars="0" w:firstLine="442" w:firstLineChars="200"/>
        <w:outlineLvl w:val="0"/>
        <w:rPr>
          <w:rFonts w:hint="eastAsia" w:ascii="宋体" w:hAnsi="宋体" w:eastAsia="宋体" w:cs="宋体"/>
          <w:bCs/>
          <w:sz w:val="24"/>
        </w:rPr>
      </w:pPr>
      <w:r>
        <w:rPr>
          <w:rFonts w:hint="eastAsia" w:ascii="宋体" w:hAnsi="宋体" w:eastAsia="宋体" w:cs="宋体"/>
          <w:bCs/>
          <w:sz w:val="24"/>
        </w:rPr>
        <w:t>注明：</w:t>
      </w:r>
      <w:bookmarkEnd w:id="407"/>
      <w:bookmarkEnd w:id="408"/>
      <w:bookmarkStart w:id="409" w:name="_Toc505"/>
      <w:r>
        <w:rPr>
          <w:rFonts w:hint="eastAsia" w:ascii="宋体" w:hAnsi="宋体" w:eastAsia="宋体" w:cs="宋体"/>
          <w:bCs/>
          <w:sz w:val="24"/>
        </w:rPr>
        <w:t>1）、所有专家打分的平均值作为该投标企业的最终得分。计分过程按四舍五入取至小数点后两位，最终得分取至小数点后两位。</w:t>
      </w:r>
      <w:bookmarkEnd w:id="409"/>
    </w:p>
    <w:p>
      <w:pPr>
        <w:pStyle w:val="12"/>
        <w:spacing w:line="360" w:lineRule="auto"/>
        <w:ind w:left="0" w:leftChars="0" w:firstLine="442" w:firstLineChars="200"/>
        <w:outlineLvl w:val="0"/>
        <w:rPr>
          <w:rFonts w:hint="eastAsia" w:ascii="宋体" w:hAnsi="宋体" w:eastAsia="宋体" w:cs="宋体"/>
          <w:bCs/>
          <w:sz w:val="24"/>
        </w:rPr>
      </w:pPr>
      <w:bookmarkStart w:id="410" w:name="_Toc24622"/>
      <w:r>
        <w:rPr>
          <w:rFonts w:hint="eastAsia" w:ascii="宋体" w:hAnsi="宋体" w:eastAsia="宋体" w:cs="宋体"/>
          <w:bCs/>
          <w:sz w:val="24"/>
        </w:rPr>
        <w:t>2）、评标委员会按评审后得分由高到低顺序排列，得分相同的，按投标报价由低到高顺序排列。得分且投标报价相同的按技术指标优劣顺序排列确定中标候选人。</w:t>
      </w:r>
      <w:bookmarkEnd w:id="410"/>
      <w:bookmarkStart w:id="411" w:name="_Toc25283"/>
      <w:r>
        <w:rPr>
          <w:rFonts w:hint="eastAsia" w:ascii="宋体" w:hAnsi="宋体" w:eastAsia="宋体" w:cs="宋体"/>
          <w:bCs/>
          <w:sz w:val="24"/>
        </w:rPr>
        <w:t>24.2 无论在评审过程中或其他任何时侯发现下列情形之一的，报价将被拒绝，若中标，则无效。招标代理机构有权依法追究投标企业的法律责任。</w:t>
      </w:r>
      <w:bookmarkEnd w:id="405"/>
      <w:bookmarkEnd w:id="406"/>
      <w:bookmarkEnd w:id="411"/>
    </w:p>
    <w:p>
      <w:pPr>
        <w:pStyle w:val="12"/>
        <w:spacing w:line="360" w:lineRule="auto"/>
        <w:ind w:left="0" w:leftChars="0" w:firstLine="442" w:firstLineChars="200"/>
        <w:outlineLvl w:val="0"/>
        <w:rPr>
          <w:rFonts w:hint="eastAsia" w:ascii="宋体" w:hAnsi="宋体" w:eastAsia="宋体" w:cs="宋体"/>
          <w:bCs/>
          <w:sz w:val="24"/>
        </w:rPr>
      </w:pPr>
      <w:bookmarkStart w:id="412" w:name="_Toc26815"/>
      <w:bookmarkStart w:id="413" w:name="_Toc3615"/>
      <w:bookmarkStart w:id="414" w:name="_Toc5443"/>
      <w:r>
        <w:rPr>
          <w:rFonts w:hint="eastAsia" w:ascii="宋体" w:hAnsi="宋体" w:eastAsia="宋体" w:cs="宋体"/>
          <w:bCs/>
          <w:sz w:val="24"/>
        </w:rPr>
        <w:t>1) 提供虚假材料谋取中标的；</w:t>
      </w:r>
      <w:bookmarkEnd w:id="412"/>
      <w:bookmarkEnd w:id="413"/>
      <w:bookmarkEnd w:id="414"/>
    </w:p>
    <w:p>
      <w:pPr>
        <w:pStyle w:val="12"/>
        <w:spacing w:line="360" w:lineRule="auto"/>
        <w:ind w:left="0" w:leftChars="0" w:firstLine="442" w:firstLineChars="200"/>
        <w:outlineLvl w:val="0"/>
        <w:rPr>
          <w:rFonts w:hint="eastAsia" w:ascii="宋体" w:hAnsi="宋体" w:eastAsia="宋体" w:cs="宋体"/>
          <w:bCs/>
          <w:sz w:val="24"/>
        </w:rPr>
      </w:pPr>
      <w:bookmarkStart w:id="415" w:name="_Toc880"/>
      <w:bookmarkStart w:id="416" w:name="_Toc17019"/>
      <w:bookmarkStart w:id="417" w:name="_Toc2923"/>
      <w:r>
        <w:rPr>
          <w:rFonts w:hint="eastAsia" w:ascii="宋体" w:hAnsi="宋体" w:eastAsia="宋体" w:cs="宋体"/>
          <w:bCs/>
          <w:sz w:val="24"/>
        </w:rPr>
        <w:t>2) 采取不正当手段诋毁、排挤其他投标企业的；</w:t>
      </w:r>
      <w:bookmarkEnd w:id="415"/>
      <w:bookmarkEnd w:id="416"/>
      <w:bookmarkEnd w:id="417"/>
    </w:p>
    <w:p>
      <w:pPr>
        <w:pStyle w:val="12"/>
        <w:spacing w:line="360" w:lineRule="auto"/>
        <w:ind w:left="0" w:leftChars="0" w:firstLine="442" w:firstLineChars="200"/>
        <w:outlineLvl w:val="0"/>
        <w:rPr>
          <w:rFonts w:hint="eastAsia" w:ascii="宋体" w:hAnsi="宋体" w:eastAsia="宋体" w:cs="宋体"/>
          <w:bCs/>
          <w:sz w:val="24"/>
        </w:rPr>
      </w:pPr>
      <w:bookmarkStart w:id="418" w:name="_Toc14653"/>
      <w:bookmarkStart w:id="419" w:name="_Toc7450"/>
      <w:bookmarkStart w:id="420" w:name="_Toc16285"/>
      <w:r>
        <w:rPr>
          <w:rFonts w:hint="eastAsia" w:ascii="宋体" w:hAnsi="宋体" w:eastAsia="宋体" w:cs="宋体"/>
          <w:bCs/>
          <w:sz w:val="24"/>
        </w:rPr>
        <w:t>3) 恶意串通报价的；</w:t>
      </w:r>
      <w:bookmarkEnd w:id="418"/>
      <w:bookmarkEnd w:id="419"/>
      <w:bookmarkEnd w:id="420"/>
    </w:p>
    <w:p>
      <w:pPr>
        <w:pStyle w:val="12"/>
        <w:spacing w:line="360" w:lineRule="auto"/>
        <w:ind w:left="0" w:leftChars="0" w:firstLine="442" w:firstLineChars="200"/>
        <w:outlineLvl w:val="0"/>
        <w:rPr>
          <w:rFonts w:hint="eastAsia" w:ascii="宋体" w:hAnsi="宋体" w:eastAsia="宋体" w:cs="宋体"/>
          <w:bCs/>
          <w:sz w:val="24"/>
        </w:rPr>
      </w:pPr>
      <w:bookmarkStart w:id="421" w:name="_Toc20198"/>
      <w:bookmarkStart w:id="422" w:name="_Toc5126"/>
      <w:bookmarkStart w:id="423" w:name="_Toc28358"/>
      <w:r>
        <w:rPr>
          <w:rFonts w:hint="eastAsia" w:ascii="宋体" w:hAnsi="宋体" w:eastAsia="宋体" w:cs="宋体"/>
          <w:bCs/>
          <w:sz w:val="24"/>
        </w:rPr>
        <w:t>4) 其他任何有企图影响采购结果公正性的活动。</w:t>
      </w:r>
      <w:bookmarkEnd w:id="421"/>
      <w:bookmarkEnd w:id="422"/>
      <w:bookmarkEnd w:id="423"/>
    </w:p>
    <w:p>
      <w:pPr>
        <w:pStyle w:val="12"/>
        <w:spacing w:line="360" w:lineRule="auto"/>
        <w:ind w:left="0" w:leftChars="0" w:firstLine="442" w:firstLineChars="200"/>
        <w:outlineLvl w:val="0"/>
        <w:rPr>
          <w:rFonts w:hint="eastAsia" w:ascii="宋体" w:hAnsi="宋体" w:eastAsia="宋体" w:cs="宋体"/>
          <w:bCs/>
          <w:sz w:val="24"/>
        </w:rPr>
      </w:pPr>
      <w:bookmarkStart w:id="424" w:name="_Toc3531"/>
      <w:bookmarkStart w:id="425" w:name="_Toc15173"/>
      <w:bookmarkStart w:id="426" w:name="_Toc9647"/>
      <w:r>
        <w:rPr>
          <w:rFonts w:hint="eastAsia" w:ascii="宋体" w:hAnsi="宋体" w:eastAsia="宋体" w:cs="宋体"/>
          <w:bCs/>
          <w:sz w:val="24"/>
        </w:rPr>
        <w:t>经初审合格的投标文件，评标委员会将根据招标文件确定的评审方法做进一步评定。</w:t>
      </w:r>
      <w:bookmarkEnd w:id="424"/>
      <w:bookmarkEnd w:id="425"/>
      <w:bookmarkEnd w:id="426"/>
    </w:p>
    <w:p>
      <w:pPr>
        <w:pStyle w:val="12"/>
        <w:spacing w:line="360" w:lineRule="auto"/>
        <w:ind w:left="0" w:leftChars="0" w:firstLine="442" w:firstLineChars="200"/>
        <w:outlineLvl w:val="0"/>
        <w:rPr>
          <w:rFonts w:hint="eastAsia" w:ascii="宋体" w:hAnsi="宋体" w:eastAsia="宋体" w:cs="宋体"/>
          <w:bCs/>
          <w:sz w:val="24"/>
        </w:rPr>
      </w:pPr>
      <w:bookmarkStart w:id="427" w:name="_Toc11539"/>
      <w:bookmarkStart w:id="428" w:name="_Toc20948"/>
      <w:bookmarkStart w:id="429" w:name="_Toc8256"/>
      <w:r>
        <w:rPr>
          <w:rFonts w:hint="eastAsia" w:ascii="宋体" w:hAnsi="宋体" w:eastAsia="宋体" w:cs="宋体"/>
          <w:bCs/>
          <w:sz w:val="24"/>
        </w:rPr>
        <w:t>25.  评审过程保密</w:t>
      </w:r>
      <w:bookmarkEnd w:id="427"/>
      <w:bookmarkEnd w:id="428"/>
      <w:bookmarkEnd w:id="429"/>
    </w:p>
    <w:p>
      <w:pPr>
        <w:pStyle w:val="12"/>
        <w:spacing w:line="360" w:lineRule="auto"/>
        <w:ind w:left="0" w:leftChars="0" w:firstLine="442" w:firstLineChars="200"/>
        <w:outlineLvl w:val="0"/>
        <w:rPr>
          <w:rFonts w:hint="eastAsia" w:ascii="宋体" w:hAnsi="宋体" w:eastAsia="宋体" w:cs="宋体"/>
          <w:bCs/>
          <w:sz w:val="24"/>
        </w:rPr>
      </w:pPr>
      <w:bookmarkStart w:id="430" w:name="_Toc14972"/>
      <w:bookmarkStart w:id="431" w:name="_Toc23787"/>
      <w:bookmarkStart w:id="432" w:name="_Toc8749"/>
      <w:r>
        <w:rPr>
          <w:rFonts w:hint="eastAsia" w:ascii="宋体" w:hAnsi="宋体" w:eastAsia="宋体" w:cs="宋体"/>
          <w:bCs/>
          <w:sz w:val="24"/>
        </w:rPr>
        <w:t>开标之后，直到签订合同止，凡是属于审查、澄清、评价和比较报价的有关资料以及中标意向等，均不向投标企业或者其他与评审无关的人员透露。</w:t>
      </w:r>
      <w:bookmarkEnd w:id="430"/>
      <w:bookmarkEnd w:id="431"/>
      <w:bookmarkEnd w:id="432"/>
    </w:p>
    <w:p>
      <w:pPr>
        <w:pStyle w:val="12"/>
        <w:spacing w:line="360" w:lineRule="auto"/>
        <w:ind w:left="0" w:leftChars="0" w:firstLine="442" w:firstLineChars="200"/>
        <w:outlineLvl w:val="0"/>
        <w:rPr>
          <w:rFonts w:hint="eastAsia" w:ascii="宋体" w:hAnsi="宋体" w:eastAsia="宋体" w:cs="宋体"/>
          <w:bCs/>
          <w:sz w:val="24"/>
        </w:rPr>
      </w:pPr>
      <w:bookmarkStart w:id="433" w:name="_Toc23924"/>
      <w:bookmarkStart w:id="434" w:name="_Toc3049"/>
      <w:bookmarkStart w:id="435" w:name="_Toc2374"/>
      <w:r>
        <w:rPr>
          <w:rFonts w:hint="eastAsia" w:ascii="宋体" w:hAnsi="宋体" w:eastAsia="宋体" w:cs="宋体"/>
          <w:bCs/>
          <w:sz w:val="24"/>
        </w:rPr>
        <w:t>26.  投标企业瑕疵滞后的处理</w:t>
      </w:r>
      <w:bookmarkEnd w:id="433"/>
      <w:bookmarkEnd w:id="434"/>
      <w:bookmarkEnd w:id="435"/>
    </w:p>
    <w:p>
      <w:pPr>
        <w:pStyle w:val="12"/>
        <w:spacing w:line="360" w:lineRule="auto"/>
        <w:ind w:left="0" w:leftChars="0" w:firstLine="442" w:firstLineChars="200"/>
        <w:outlineLvl w:val="0"/>
        <w:rPr>
          <w:rFonts w:hint="eastAsia" w:ascii="宋体" w:hAnsi="宋体" w:eastAsia="宋体" w:cs="宋体"/>
          <w:bCs/>
          <w:sz w:val="24"/>
        </w:rPr>
      </w:pPr>
      <w:bookmarkStart w:id="436" w:name="_Toc16139"/>
      <w:bookmarkStart w:id="437" w:name="_Toc12583"/>
      <w:bookmarkStart w:id="438" w:name="_Toc24403"/>
      <w:r>
        <w:rPr>
          <w:rFonts w:hint="eastAsia" w:ascii="宋体" w:hAnsi="宋体" w:eastAsia="宋体" w:cs="宋体"/>
          <w:bCs/>
          <w:sz w:val="24"/>
        </w:rPr>
        <w:t>26.1 无论基于何种原因，各项本应作拒绝处理的情形即便未被及时发现而使该投标企业进入初审、综合评审或其它后续程序，包括已经签订合同的情形，一旦在任何时间被发现存在上述情形，则招标代理机构均有权随时视情形决定是否取消该投标企业的此前评议结果，或随时视情形决定是否对该报价予以拒绝，并有权决定采取相应的补救或纠正措施。一旦该投标企业被拒绝或被取消该投标企业的此前评议结果，其现有的位置将被其他投标企业依序替代，相关的一切损失均由该投标企业承担。</w:t>
      </w:r>
      <w:bookmarkEnd w:id="436"/>
      <w:bookmarkEnd w:id="437"/>
      <w:bookmarkEnd w:id="438"/>
    </w:p>
    <w:p>
      <w:pPr>
        <w:pStyle w:val="12"/>
        <w:spacing w:line="360" w:lineRule="auto"/>
        <w:ind w:left="0" w:leftChars="0" w:firstLine="442" w:firstLineChars="200"/>
        <w:outlineLvl w:val="0"/>
        <w:rPr>
          <w:rFonts w:hint="eastAsia" w:ascii="宋体" w:hAnsi="宋体" w:eastAsia="宋体" w:cs="宋体"/>
          <w:bCs/>
          <w:sz w:val="24"/>
        </w:rPr>
      </w:pPr>
      <w:bookmarkStart w:id="439" w:name="_Toc4753"/>
      <w:bookmarkStart w:id="440" w:name="_Toc1342"/>
      <w:bookmarkStart w:id="441" w:name="_Toc26029"/>
      <w:r>
        <w:rPr>
          <w:rFonts w:hint="eastAsia" w:ascii="宋体" w:hAnsi="宋体" w:eastAsia="宋体" w:cs="宋体"/>
          <w:bCs/>
          <w:sz w:val="24"/>
        </w:rPr>
        <w:t>26.2 若已经超过质疑期限而没有被发现且已经签订了相关的合同，之后才发现存在上述情形，经评标委员会/招标代理机构再行审查认为其在技术、必要资质等方面并不存在问题而仅属于商务方面存在瑕疵的问题，且若一旦取消该投标企业的此前评议结果或采取类似效果的处理措施将对本次采购更为不利，在此情形下准备考虑维持结果，评标委员会/招标代理机构有权要求该存在瑕疵的投标企业提供特别担保金用以承担可能产生的赔偿责任，若其拒绝提供该等担保或所实际提供的担保金额不足要求金额，评标委员会/招标代理机构有权并且应当决定取消投标企业的此前评议结果或采取类似效果的措施。</w:t>
      </w:r>
      <w:bookmarkEnd w:id="439"/>
      <w:bookmarkEnd w:id="440"/>
      <w:bookmarkEnd w:id="441"/>
    </w:p>
    <w:p>
      <w:pPr>
        <w:pStyle w:val="12"/>
        <w:spacing w:line="360" w:lineRule="auto"/>
        <w:ind w:left="0" w:leftChars="0" w:firstLine="442" w:firstLineChars="200"/>
        <w:outlineLvl w:val="0"/>
        <w:rPr>
          <w:rFonts w:hint="eastAsia" w:ascii="宋体" w:hAnsi="宋体" w:eastAsia="宋体" w:cs="宋体"/>
          <w:bCs/>
          <w:sz w:val="24"/>
        </w:rPr>
      </w:pPr>
      <w:bookmarkStart w:id="442" w:name="_Toc12025"/>
      <w:bookmarkStart w:id="443" w:name="_Toc18665"/>
      <w:bookmarkStart w:id="444" w:name="_Toc22379"/>
      <w:r>
        <w:rPr>
          <w:rFonts w:hint="eastAsia" w:ascii="宋体" w:hAnsi="宋体" w:eastAsia="宋体" w:cs="宋体"/>
          <w:bCs/>
          <w:sz w:val="24"/>
        </w:rPr>
        <w:t>27.  废标</w:t>
      </w:r>
      <w:bookmarkEnd w:id="442"/>
      <w:bookmarkEnd w:id="443"/>
      <w:bookmarkEnd w:id="444"/>
    </w:p>
    <w:p>
      <w:pPr>
        <w:pStyle w:val="12"/>
        <w:spacing w:line="360" w:lineRule="auto"/>
        <w:ind w:left="0" w:leftChars="0" w:firstLine="442" w:firstLineChars="200"/>
        <w:outlineLvl w:val="0"/>
        <w:rPr>
          <w:rFonts w:hint="eastAsia" w:ascii="宋体" w:hAnsi="宋体" w:eastAsia="宋体" w:cs="宋体"/>
          <w:bCs/>
          <w:sz w:val="24"/>
        </w:rPr>
      </w:pPr>
      <w:bookmarkStart w:id="445" w:name="_Toc30729"/>
      <w:bookmarkStart w:id="446" w:name="_Toc11704"/>
      <w:bookmarkStart w:id="447" w:name="_Toc25668"/>
      <w:r>
        <w:rPr>
          <w:rFonts w:hint="eastAsia" w:ascii="宋体" w:hAnsi="宋体" w:eastAsia="宋体" w:cs="宋体"/>
          <w:bCs/>
          <w:sz w:val="24"/>
        </w:rPr>
        <w:t>根据法律法规的有关规定，出现下列情形之一的，评标委员会将否决所有投标企业的报价。</w:t>
      </w:r>
      <w:bookmarkEnd w:id="445"/>
      <w:bookmarkEnd w:id="446"/>
      <w:bookmarkEnd w:id="447"/>
    </w:p>
    <w:p>
      <w:pPr>
        <w:pStyle w:val="12"/>
        <w:spacing w:line="360" w:lineRule="auto"/>
        <w:ind w:left="0" w:leftChars="0" w:firstLine="442" w:firstLineChars="200"/>
        <w:outlineLvl w:val="0"/>
        <w:rPr>
          <w:rFonts w:hint="eastAsia" w:ascii="宋体" w:hAnsi="宋体" w:eastAsia="宋体" w:cs="宋体"/>
          <w:bCs/>
          <w:sz w:val="24"/>
        </w:rPr>
      </w:pPr>
      <w:bookmarkStart w:id="448" w:name="_Toc97"/>
      <w:bookmarkStart w:id="449" w:name="_Toc24098"/>
      <w:bookmarkStart w:id="450" w:name="_Toc24824"/>
      <w:r>
        <w:rPr>
          <w:rFonts w:hint="eastAsia" w:ascii="宋体" w:hAnsi="宋体" w:eastAsia="宋体" w:cs="宋体"/>
          <w:bCs/>
          <w:sz w:val="24"/>
        </w:rPr>
        <w:t>1)符合专业条件的投标企业或者对招标文件作实质响应的投标企业不足三家的；</w:t>
      </w:r>
      <w:bookmarkEnd w:id="448"/>
      <w:bookmarkEnd w:id="449"/>
      <w:bookmarkEnd w:id="450"/>
      <w:r>
        <w:rPr>
          <w:rFonts w:hint="eastAsia" w:ascii="宋体" w:hAnsi="宋体" w:eastAsia="宋体" w:cs="宋体"/>
          <w:bCs/>
          <w:sz w:val="24"/>
        </w:rPr>
        <w:t xml:space="preserve"> </w:t>
      </w:r>
    </w:p>
    <w:p>
      <w:pPr>
        <w:pStyle w:val="12"/>
        <w:spacing w:line="360" w:lineRule="auto"/>
        <w:ind w:left="0" w:leftChars="0" w:firstLine="442" w:firstLineChars="200"/>
        <w:outlineLvl w:val="0"/>
        <w:rPr>
          <w:rFonts w:hint="eastAsia" w:ascii="宋体" w:hAnsi="宋体" w:eastAsia="宋体" w:cs="宋体"/>
          <w:bCs/>
          <w:sz w:val="24"/>
        </w:rPr>
      </w:pPr>
      <w:bookmarkStart w:id="451" w:name="_Toc20406"/>
      <w:bookmarkStart w:id="452" w:name="_Toc16818"/>
      <w:bookmarkStart w:id="453" w:name="_Toc15013"/>
      <w:r>
        <w:rPr>
          <w:rFonts w:hint="eastAsia" w:ascii="宋体" w:hAnsi="宋体" w:eastAsia="宋体" w:cs="宋体"/>
          <w:bCs/>
          <w:sz w:val="24"/>
        </w:rPr>
        <w:t>2)出现影响采购公正的违法、违规行为的；</w:t>
      </w:r>
      <w:bookmarkEnd w:id="451"/>
      <w:bookmarkEnd w:id="452"/>
      <w:bookmarkEnd w:id="453"/>
    </w:p>
    <w:p>
      <w:pPr>
        <w:pStyle w:val="12"/>
        <w:spacing w:line="360" w:lineRule="auto"/>
        <w:ind w:left="0" w:leftChars="0" w:firstLine="442" w:firstLineChars="200"/>
        <w:outlineLvl w:val="0"/>
        <w:rPr>
          <w:rFonts w:hint="eastAsia" w:ascii="宋体" w:hAnsi="宋体" w:eastAsia="宋体" w:cs="宋体"/>
          <w:bCs/>
          <w:sz w:val="24"/>
        </w:rPr>
      </w:pPr>
      <w:bookmarkStart w:id="454" w:name="_Toc6173"/>
      <w:bookmarkStart w:id="455" w:name="_Toc18948"/>
      <w:bookmarkStart w:id="456" w:name="_Toc25565"/>
      <w:r>
        <w:rPr>
          <w:rFonts w:hint="eastAsia" w:ascii="宋体" w:hAnsi="宋体" w:eastAsia="宋体" w:cs="宋体"/>
          <w:bCs/>
          <w:sz w:val="24"/>
        </w:rPr>
        <w:t>3)投标企业的报价均超过了采购预算；</w:t>
      </w:r>
      <w:bookmarkEnd w:id="454"/>
      <w:bookmarkEnd w:id="455"/>
      <w:bookmarkEnd w:id="456"/>
    </w:p>
    <w:p>
      <w:pPr>
        <w:pStyle w:val="12"/>
        <w:spacing w:line="360" w:lineRule="auto"/>
        <w:ind w:left="0" w:leftChars="0" w:firstLine="442" w:firstLineChars="200"/>
        <w:outlineLvl w:val="0"/>
        <w:rPr>
          <w:rFonts w:hint="eastAsia" w:ascii="宋体" w:hAnsi="宋体" w:eastAsia="宋体" w:cs="宋体"/>
          <w:bCs/>
          <w:sz w:val="24"/>
        </w:rPr>
      </w:pPr>
      <w:bookmarkStart w:id="457" w:name="_Toc8868"/>
      <w:bookmarkStart w:id="458" w:name="_Toc11124"/>
      <w:bookmarkStart w:id="459" w:name="_Toc30575"/>
      <w:r>
        <w:rPr>
          <w:rFonts w:hint="eastAsia" w:ascii="宋体" w:hAnsi="宋体" w:eastAsia="宋体" w:cs="宋体"/>
          <w:bCs/>
          <w:sz w:val="24"/>
        </w:rPr>
        <w:t>4)因重大变故，采购任务取消的。</w:t>
      </w:r>
      <w:bookmarkEnd w:id="457"/>
      <w:bookmarkEnd w:id="458"/>
      <w:bookmarkEnd w:id="459"/>
    </w:p>
    <w:p>
      <w:pPr>
        <w:pStyle w:val="9"/>
        <w:spacing w:after="0" w:line="360" w:lineRule="auto"/>
        <w:rPr>
          <w:rFonts w:hint="eastAsia" w:ascii="宋体" w:hAnsi="宋体" w:eastAsia="宋体" w:cs="宋体"/>
          <w:bCs/>
          <w:sz w:val="28"/>
        </w:rPr>
      </w:pPr>
      <w:r>
        <w:rPr>
          <w:rFonts w:hint="eastAsia" w:ascii="宋体" w:hAnsi="宋体" w:eastAsia="宋体" w:cs="宋体"/>
          <w:bCs/>
          <w:sz w:val="28"/>
        </w:rPr>
        <w:t>六、合同签订</w:t>
      </w:r>
    </w:p>
    <w:p>
      <w:pPr>
        <w:pStyle w:val="12"/>
        <w:spacing w:line="360" w:lineRule="auto"/>
        <w:ind w:left="0" w:leftChars="0" w:firstLine="442" w:firstLineChars="200"/>
        <w:outlineLvl w:val="0"/>
        <w:rPr>
          <w:rFonts w:hint="eastAsia" w:ascii="宋体" w:hAnsi="宋体" w:eastAsia="宋体" w:cs="宋体"/>
          <w:bCs/>
          <w:sz w:val="24"/>
        </w:rPr>
      </w:pPr>
      <w:bookmarkStart w:id="460" w:name="_Toc26903"/>
      <w:bookmarkStart w:id="461" w:name="_Toc16408"/>
      <w:bookmarkStart w:id="462" w:name="_Toc12476"/>
      <w:r>
        <w:rPr>
          <w:rFonts w:hint="eastAsia" w:ascii="宋体" w:hAnsi="宋体" w:eastAsia="宋体" w:cs="宋体"/>
          <w:bCs/>
          <w:sz w:val="24"/>
        </w:rPr>
        <w:t xml:space="preserve">28  </w:t>
      </w:r>
      <w:bookmarkEnd w:id="460"/>
      <w:r>
        <w:rPr>
          <w:rFonts w:hint="eastAsia" w:ascii="宋体" w:hAnsi="宋体" w:eastAsia="宋体" w:cs="宋体"/>
          <w:bCs/>
          <w:sz w:val="24"/>
        </w:rPr>
        <w:t>中标通知</w:t>
      </w:r>
      <w:bookmarkEnd w:id="461"/>
      <w:bookmarkEnd w:id="462"/>
    </w:p>
    <w:p>
      <w:pPr>
        <w:pStyle w:val="12"/>
        <w:spacing w:line="360" w:lineRule="auto"/>
        <w:ind w:left="0" w:leftChars="0" w:firstLine="442" w:firstLineChars="200"/>
        <w:outlineLvl w:val="0"/>
        <w:rPr>
          <w:rFonts w:hint="eastAsia" w:ascii="宋体" w:hAnsi="宋体" w:eastAsia="宋体" w:cs="宋体"/>
          <w:bCs/>
          <w:sz w:val="24"/>
        </w:rPr>
      </w:pPr>
      <w:bookmarkStart w:id="463" w:name="_Toc31228"/>
      <w:bookmarkStart w:id="464" w:name="_Toc16822"/>
      <w:bookmarkStart w:id="465" w:name="_Toc22246"/>
      <w:r>
        <w:rPr>
          <w:rFonts w:hint="eastAsia" w:ascii="宋体" w:hAnsi="宋体" w:eastAsia="宋体" w:cs="宋体"/>
          <w:bCs/>
          <w:sz w:val="24"/>
        </w:rPr>
        <w:t>28.1招标代理机构对未中标的投标企业不作未中标原因的解释。</w:t>
      </w:r>
      <w:bookmarkEnd w:id="463"/>
      <w:bookmarkEnd w:id="464"/>
      <w:bookmarkEnd w:id="465"/>
    </w:p>
    <w:p>
      <w:pPr>
        <w:pStyle w:val="12"/>
        <w:spacing w:line="360" w:lineRule="auto"/>
        <w:ind w:left="0" w:leftChars="0" w:firstLine="442" w:firstLineChars="200"/>
        <w:outlineLvl w:val="0"/>
        <w:rPr>
          <w:rFonts w:hint="eastAsia" w:ascii="宋体" w:hAnsi="宋体" w:eastAsia="宋体" w:cs="宋体"/>
          <w:bCs/>
          <w:sz w:val="24"/>
        </w:rPr>
      </w:pPr>
      <w:bookmarkStart w:id="466" w:name="_Toc20822"/>
      <w:bookmarkStart w:id="467" w:name="_Toc15297"/>
      <w:bookmarkStart w:id="468" w:name="_Toc11651"/>
      <w:r>
        <w:rPr>
          <w:rFonts w:hint="eastAsia" w:ascii="宋体" w:hAnsi="宋体" w:eastAsia="宋体" w:cs="宋体"/>
          <w:bCs/>
          <w:sz w:val="24"/>
        </w:rPr>
        <w:t>28.2 在投标有效期内，招标代理机构将向中标企业签发《中标通知书》。中标通知书是合同的一个组成部分。</w:t>
      </w:r>
      <w:bookmarkEnd w:id="466"/>
      <w:bookmarkEnd w:id="467"/>
      <w:bookmarkEnd w:id="468"/>
    </w:p>
    <w:p>
      <w:pPr>
        <w:pStyle w:val="12"/>
        <w:spacing w:line="360" w:lineRule="auto"/>
        <w:ind w:left="0" w:leftChars="0" w:firstLine="442" w:firstLineChars="200"/>
        <w:outlineLvl w:val="0"/>
        <w:rPr>
          <w:rFonts w:hint="eastAsia" w:ascii="宋体" w:hAnsi="宋体" w:eastAsia="宋体" w:cs="宋体"/>
          <w:bCs/>
          <w:sz w:val="24"/>
        </w:rPr>
      </w:pPr>
      <w:bookmarkStart w:id="469" w:name="_Toc23517"/>
      <w:bookmarkStart w:id="470" w:name="_Toc19709"/>
      <w:bookmarkStart w:id="471" w:name="_Toc18668"/>
      <w:r>
        <w:rPr>
          <w:rFonts w:hint="eastAsia" w:ascii="宋体" w:hAnsi="宋体" w:eastAsia="宋体" w:cs="宋体"/>
          <w:bCs/>
          <w:sz w:val="24"/>
        </w:rPr>
        <w:t>28.3中标通知书发出后，招标单位改变中标结果，或者中标企业放弃中标项目的，应当依法承担法律责任。</w:t>
      </w:r>
      <w:bookmarkEnd w:id="469"/>
      <w:bookmarkEnd w:id="470"/>
      <w:bookmarkEnd w:id="471"/>
    </w:p>
    <w:p>
      <w:pPr>
        <w:pStyle w:val="9"/>
        <w:spacing w:after="0" w:line="360" w:lineRule="auto"/>
        <w:rPr>
          <w:rFonts w:hint="eastAsia" w:ascii="宋体" w:hAnsi="宋体" w:eastAsia="宋体" w:cs="宋体"/>
          <w:bCs/>
          <w:sz w:val="24"/>
        </w:rPr>
      </w:pPr>
      <w:r>
        <w:rPr>
          <w:rFonts w:hint="eastAsia" w:ascii="宋体" w:hAnsi="宋体" w:eastAsia="宋体" w:cs="宋体"/>
          <w:bCs/>
          <w:sz w:val="24"/>
        </w:rPr>
        <w:t>29.  签订合同</w:t>
      </w:r>
    </w:p>
    <w:p>
      <w:pPr>
        <w:pStyle w:val="12"/>
        <w:spacing w:line="360" w:lineRule="auto"/>
        <w:ind w:left="0" w:leftChars="0" w:firstLine="442" w:firstLineChars="200"/>
        <w:outlineLvl w:val="0"/>
        <w:rPr>
          <w:rFonts w:hint="eastAsia" w:ascii="宋体" w:hAnsi="宋体" w:eastAsia="宋体" w:cs="宋体"/>
          <w:bCs/>
          <w:sz w:val="24"/>
        </w:rPr>
      </w:pPr>
      <w:bookmarkStart w:id="472" w:name="_Toc28672"/>
      <w:bookmarkStart w:id="473" w:name="_Toc25706"/>
      <w:bookmarkStart w:id="474" w:name="_Toc14924"/>
      <w:r>
        <w:rPr>
          <w:rFonts w:hint="eastAsia" w:ascii="宋体" w:hAnsi="宋体" w:eastAsia="宋体" w:cs="宋体"/>
          <w:bCs/>
          <w:sz w:val="24"/>
        </w:rPr>
        <w:t>29.1 中标通知书发出之日起30日内，按照采购确定的事项签订合同。</w:t>
      </w:r>
      <w:bookmarkEnd w:id="472"/>
      <w:bookmarkEnd w:id="473"/>
      <w:bookmarkEnd w:id="474"/>
    </w:p>
    <w:p>
      <w:pPr>
        <w:pStyle w:val="12"/>
        <w:spacing w:line="360" w:lineRule="auto"/>
        <w:ind w:left="0" w:leftChars="0" w:firstLine="442" w:firstLineChars="200"/>
        <w:outlineLvl w:val="0"/>
        <w:rPr>
          <w:rFonts w:hint="eastAsia" w:ascii="宋体" w:hAnsi="宋体" w:eastAsia="宋体" w:cs="宋体"/>
          <w:bCs/>
          <w:sz w:val="24"/>
        </w:rPr>
      </w:pPr>
      <w:bookmarkStart w:id="475" w:name="_Toc14501"/>
      <w:bookmarkStart w:id="476" w:name="_Toc11806"/>
      <w:bookmarkStart w:id="477" w:name="_Toc22943"/>
      <w:r>
        <w:rPr>
          <w:rFonts w:hint="eastAsia" w:ascii="宋体" w:hAnsi="宋体" w:eastAsia="宋体" w:cs="宋体"/>
          <w:bCs/>
          <w:sz w:val="24"/>
        </w:rPr>
        <w:t>29.2 招标文件、中标企业的投标文件以及评审过程中的有关澄清、说明或者补正文件均为合同的组成部分。</w:t>
      </w:r>
      <w:bookmarkEnd w:id="475"/>
      <w:bookmarkEnd w:id="476"/>
      <w:bookmarkEnd w:id="477"/>
    </w:p>
    <w:p>
      <w:pPr>
        <w:pStyle w:val="12"/>
        <w:spacing w:line="360" w:lineRule="auto"/>
        <w:ind w:left="0" w:leftChars="0" w:firstLine="442" w:firstLineChars="200"/>
        <w:outlineLvl w:val="0"/>
        <w:rPr>
          <w:rFonts w:hint="eastAsia" w:ascii="宋体" w:hAnsi="宋体" w:eastAsia="宋体" w:cs="宋体"/>
          <w:bCs/>
          <w:sz w:val="24"/>
        </w:rPr>
      </w:pPr>
      <w:bookmarkStart w:id="478" w:name="_Toc26683"/>
      <w:bookmarkStart w:id="479" w:name="_Toc666"/>
      <w:bookmarkStart w:id="480" w:name="_Toc30630"/>
      <w:r>
        <w:rPr>
          <w:rFonts w:hint="eastAsia" w:ascii="宋体" w:hAnsi="宋体" w:eastAsia="宋体" w:cs="宋体"/>
          <w:bCs/>
          <w:sz w:val="24"/>
        </w:rPr>
        <w:t>29.3不按约定签订或履行合同，给对方造成损失的，应承担赔偿责任。</w:t>
      </w:r>
      <w:bookmarkEnd w:id="478"/>
      <w:bookmarkEnd w:id="479"/>
      <w:bookmarkEnd w:id="480"/>
    </w:p>
    <w:p>
      <w:pPr>
        <w:pStyle w:val="12"/>
        <w:spacing w:line="360" w:lineRule="auto"/>
        <w:ind w:left="92" w:leftChars="0" w:hanging="92" w:hangingChars="35"/>
        <w:outlineLvl w:val="0"/>
        <w:rPr>
          <w:rFonts w:hint="eastAsia" w:ascii="宋体" w:hAnsi="宋体" w:eastAsia="宋体" w:cs="宋体"/>
          <w:bCs/>
          <w:sz w:val="28"/>
        </w:rPr>
      </w:pPr>
      <w:bookmarkStart w:id="481" w:name="_Toc17516"/>
      <w:bookmarkStart w:id="482" w:name="_Toc23163"/>
      <w:bookmarkStart w:id="483" w:name="_Toc26249"/>
      <w:r>
        <w:rPr>
          <w:rFonts w:hint="eastAsia" w:ascii="宋体" w:hAnsi="宋体" w:eastAsia="宋体" w:cs="宋体"/>
          <w:bCs/>
          <w:sz w:val="28"/>
        </w:rPr>
        <w:t>七、保密和披露</w:t>
      </w:r>
      <w:bookmarkEnd w:id="481"/>
      <w:bookmarkEnd w:id="482"/>
      <w:bookmarkEnd w:id="483"/>
    </w:p>
    <w:p>
      <w:pPr>
        <w:pStyle w:val="12"/>
        <w:spacing w:line="360" w:lineRule="auto"/>
        <w:ind w:left="0" w:leftChars="0" w:firstLine="442" w:firstLineChars="200"/>
        <w:outlineLvl w:val="0"/>
        <w:rPr>
          <w:rFonts w:hint="eastAsia" w:ascii="宋体" w:hAnsi="宋体" w:eastAsia="宋体" w:cs="宋体"/>
          <w:bCs/>
          <w:sz w:val="24"/>
        </w:rPr>
      </w:pPr>
      <w:bookmarkStart w:id="484" w:name="_Toc14631"/>
      <w:bookmarkStart w:id="485" w:name="_Toc567"/>
      <w:bookmarkStart w:id="486" w:name="_Toc17349"/>
      <w:r>
        <w:rPr>
          <w:rFonts w:hint="eastAsia" w:ascii="宋体" w:hAnsi="宋体" w:eastAsia="宋体" w:cs="宋体"/>
          <w:bCs/>
          <w:sz w:val="24"/>
        </w:rPr>
        <w:t>30.  保密和披露</w:t>
      </w:r>
      <w:bookmarkEnd w:id="484"/>
      <w:bookmarkEnd w:id="485"/>
      <w:bookmarkEnd w:id="486"/>
    </w:p>
    <w:p>
      <w:pPr>
        <w:pStyle w:val="12"/>
        <w:spacing w:line="360" w:lineRule="auto"/>
        <w:ind w:left="0" w:leftChars="0" w:firstLine="442" w:firstLineChars="200"/>
        <w:outlineLvl w:val="0"/>
        <w:rPr>
          <w:rFonts w:hint="eastAsia" w:ascii="宋体" w:hAnsi="宋体" w:eastAsia="宋体" w:cs="宋体"/>
          <w:bCs/>
          <w:sz w:val="24"/>
        </w:rPr>
      </w:pPr>
      <w:bookmarkStart w:id="487" w:name="_Toc13548"/>
      <w:bookmarkStart w:id="488" w:name="_Toc28102"/>
      <w:bookmarkStart w:id="489" w:name="_Toc11201"/>
      <w:r>
        <w:rPr>
          <w:rFonts w:hint="eastAsia" w:ascii="宋体" w:hAnsi="宋体" w:eastAsia="宋体" w:cs="宋体"/>
          <w:bCs/>
          <w:sz w:val="24"/>
        </w:rPr>
        <w:t>30.1投标企业自领取招标文件之日起，须承担本采购项目下保密义务，不得将因本次采购获得的信息向其他人外传。</w:t>
      </w:r>
      <w:bookmarkEnd w:id="487"/>
      <w:bookmarkEnd w:id="488"/>
      <w:bookmarkEnd w:id="489"/>
    </w:p>
    <w:p>
      <w:pPr>
        <w:pStyle w:val="12"/>
        <w:spacing w:line="360" w:lineRule="auto"/>
        <w:ind w:left="0" w:leftChars="0" w:firstLine="442" w:firstLineChars="200"/>
        <w:outlineLvl w:val="0"/>
        <w:rPr>
          <w:rFonts w:hint="eastAsia" w:ascii="宋体" w:hAnsi="宋体" w:eastAsia="宋体" w:cs="宋体"/>
          <w:bCs/>
          <w:sz w:val="24"/>
        </w:rPr>
      </w:pPr>
      <w:bookmarkStart w:id="490" w:name="_Toc6547"/>
      <w:bookmarkStart w:id="491" w:name="_Toc10576"/>
      <w:bookmarkStart w:id="492" w:name="_Toc12912"/>
      <w:r>
        <w:rPr>
          <w:rFonts w:hint="eastAsia" w:ascii="宋体" w:hAnsi="宋体" w:eastAsia="宋体" w:cs="宋体"/>
          <w:bCs/>
          <w:sz w:val="24"/>
        </w:rPr>
        <w:t>30.2招标代理机构有权将投标企业提供的所有资料向其他政府部门或有关的非政府机构负责评审的人员或与评审有关的人员披露。</w:t>
      </w:r>
      <w:bookmarkEnd w:id="490"/>
      <w:bookmarkEnd w:id="491"/>
      <w:bookmarkEnd w:id="492"/>
    </w:p>
    <w:p>
      <w:pPr>
        <w:pStyle w:val="12"/>
        <w:spacing w:line="360" w:lineRule="auto"/>
        <w:ind w:left="0" w:leftChars="0" w:firstLine="442" w:firstLineChars="200"/>
        <w:outlineLvl w:val="0"/>
        <w:rPr>
          <w:rFonts w:hint="eastAsia" w:ascii="宋体" w:hAnsi="宋体" w:eastAsia="宋体" w:cs="宋体"/>
          <w:bCs/>
          <w:sz w:val="24"/>
        </w:rPr>
      </w:pPr>
      <w:bookmarkStart w:id="493" w:name="_Toc6479"/>
      <w:bookmarkStart w:id="494" w:name="_Toc17500"/>
      <w:bookmarkStart w:id="495" w:name="_Toc18030"/>
      <w:r>
        <w:rPr>
          <w:rFonts w:hint="eastAsia" w:ascii="宋体" w:hAnsi="宋体" w:eastAsia="宋体" w:cs="宋体"/>
          <w:bCs/>
          <w:sz w:val="24"/>
        </w:rPr>
        <w:t>30.3在下列情形下：当发布中标公告和其它公告时，当国家机关调查、审查、审计时，以及其他符合法律规定的情形下，无须事先征求投标企业或中标企业同意而可以披露关于采购过程、合同文本、签署情况的资料、投标企业或中标企业的名称及地址、采购内容的有关信息以及补充条款等。对任何已经公布过的内容或与之内容相同的资料无须再承担保密责任。</w:t>
      </w:r>
      <w:bookmarkEnd w:id="493"/>
      <w:bookmarkEnd w:id="494"/>
      <w:bookmarkEnd w:id="495"/>
    </w:p>
    <w:p>
      <w:pPr>
        <w:pStyle w:val="12"/>
        <w:spacing w:line="360" w:lineRule="auto"/>
        <w:ind w:left="110" w:leftChars="0" w:hanging="110" w:hangingChars="42"/>
        <w:outlineLvl w:val="0"/>
        <w:rPr>
          <w:rFonts w:hint="eastAsia" w:ascii="宋体" w:hAnsi="宋体" w:eastAsia="宋体" w:cs="宋体"/>
          <w:bCs/>
          <w:sz w:val="28"/>
        </w:rPr>
      </w:pPr>
      <w:bookmarkStart w:id="496" w:name="_Toc26123"/>
      <w:bookmarkStart w:id="497" w:name="_Toc6239"/>
      <w:bookmarkStart w:id="498" w:name="_Toc18880"/>
      <w:r>
        <w:rPr>
          <w:rFonts w:hint="eastAsia" w:ascii="宋体" w:hAnsi="宋体" w:eastAsia="宋体" w:cs="宋体"/>
          <w:bCs/>
          <w:sz w:val="28"/>
        </w:rPr>
        <w:t>八、解释权</w:t>
      </w:r>
      <w:bookmarkEnd w:id="496"/>
      <w:bookmarkEnd w:id="497"/>
      <w:bookmarkEnd w:id="498"/>
    </w:p>
    <w:p>
      <w:pPr>
        <w:pStyle w:val="12"/>
        <w:spacing w:line="360" w:lineRule="auto"/>
        <w:ind w:left="0" w:leftChars="0" w:firstLine="442" w:firstLineChars="200"/>
        <w:outlineLvl w:val="0"/>
        <w:rPr>
          <w:rFonts w:hint="eastAsia" w:ascii="宋体" w:hAnsi="宋体" w:eastAsia="宋体" w:cs="宋体"/>
          <w:bCs/>
          <w:sz w:val="24"/>
        </w:rPr>
      </w:pPr>
      <w:bookmarkStart w:id="499" w:name="_Toc18391"/>
      <w:bookmarkStart w:id="500" w:name="_Toc12253"/>
      <w:bookmarkStart w:id="501" w:name="_Toc17266"/>
      <w:r>
        <w:rPr>
          <w:rFonts w:hint="eastAsia" w:ascii="宋体" w:hAnsi="宋体" w:eastAsia="宋体" w:cs="宋体"/>
          <w:bCs/>
          <w:sz w:val="24"/>
        </w:rPr>
        <w:t>31. 本招标文件的最终解释权归招标代理机构，当对一个问题有多种解释时以招标代理机构的书面解释为准。招标文件未做须知明示，而又有相关法律、法规规定的，招标代理机构对此所做解释以相关的法律、法规规定为依据。</w:t>
      </w:r>
      <w:bookmarkEnd w:id="499"/>
      <w:bookmarkEnd w:id="500"/>
      <w:bookmarkEnd w:id="501"/>
    </w:p>
    <w:p>
      <w:pPr>
        <w:pStyle w:val="2"/>
        <w:numPr>
          <w:ilvl w:val="0"/>
          <w:numId w:val="2"/>
        </w:numPr>
        <w:spacing w:before="0" w:after="0" w:line="360" w:lineRule="auto"/>
        <w:jc w:val="center"/>
        <w:rPr>
          <w:rFonts w:hint="eastAsia" w:ascii="宋体" w:hAnsi="宋体" w:eastAsia="宋体" w:cs="宋体"/>
          <w:b w:val="0"/>
        </w:rPr>
      </w:pPr>
      <w:r>
        <w:rPr>
          <w:rFonts w:hint="eastAsia" w:ascii="宋体" w:hAnsi="宋体" w:eastAsia="宋体" w:cs="宋体"/>
          <w:b w:val="0"/>
        </w:rPr>
        <w:br w:type="page"/>
      </w:r>
      <w:r>
        <w:rPr>
          <w:rFonts w:hint="eastAsia" w:ascii="宋体" w:hAnsi="宋体" w:eastAsia="宋体" w:cs="宋体"/>
          <w:b w:val="0"/>
        </w:rPr>
        <w:t xml:space="preserve"> 项目需求</w:t>
      </w:r>
    </w:p>
    <w:p>
      <w:pPr>
        <w:pStyle w:val="9"/>
        <w:rPr>
          <w:rFonts w:hint="eastAsia" w:ascii="宋体" w:hAnsi="宋体" w:eastAsia="宋体" w:cs="宋体"/>
        </w:rPr>
      </w:pPr>
      <w:bookmarkStart w:id="502" w:name="_Toc277"/>
      <w:bookmarkStart w:id="503" w:name="_Toc32265"/>
    </w:p>
    <w:p>
      <w:pPr>
        <w:spacing w:line="600" w:lineRule="exact"/>
        <w:ind w:firstLine="334" w:firstLineChars="151"/>
        <w:jc w:val="left"/>
        <w:rPr>
          <w:rFonts w:hint="eastAsia" w:ascii="宋体" w:hAnsi="宋体" w:eastAsia="宋体" w:cs="宋体"/>
          <w:b/>
          <w:sz w:val="24"/>
          <w:szCs w:val="24"/>
        </w:rPr>
      </w:pPr>
      <w:r>
        <w:rPr>
          <w:rFonts w:hint="eastAsia" w:ascii="宋体" w:hAnsi="宋体" w:eastAsia="宋体" w:cs="宋体"/>
          <w:b/>
          <w:sz w:val="24"/>
          <w:szCs w:val="24"/>
        </w:rPr>
        <w:t>一、项目名称:</w:t>
      </w:r>
    </w:p>
    <w:p>
      <w:pPr>
        <w:spacing w:line="600" w:lineRule="exact"/>
        <w:ind w:firstLine="442"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济南轻骑标致摩托车有限公司职工食堂配餐服务招标</w:t>
      </w:r>
      <w:r>
        <w:rPr>
          <w:rFonts w:hint="eastAsia" w:ascii="宋体" w:hAnsi="宋体" w:eastAsia="宋体" w:cs="宋体"/>
          <w:sz w:val="24"/>
          <w:szCs w:val="24"/>
          <w:lang w:val="en-US" w:eastAsia="zh-CN"/>
        </w:rPr>
        <w:t>项目</w:t>
      </w:r>
    </w:p>
    <w:p>
      <w:pPr>
        <w:spacing w:line="600" w:lineRule="exact"/>
        <w:ind w:firstLine="334" w:firstLineChars="151"/>
        <w:jc w:val="left"/>
        <w:rPr>
          <w:rFonts w:hint="eastAsia" w:ascii="宋体" w:hAnsi="宋体" w:eastAsia="宋体" w:cs="宋体"/>
          <w:sz w:val="24"/>
          <w:szCs w:val="24"/>
        </w:rPr>
      </w:pPr>
      <w:r>
        <w:rPr>
          <w:rFonts w:hint="eastAsia" w:ascii="宋体" w:hAnsi="宋体" w:eastAsia="宋体" w:cs="宋体"/>
          <w:b/>
          <w:sz w:val="24"/>
          <w:szCs w:val="24"/>
        </w:rPr>
        <w:t>二、项目规模:</w:t>
      </w:r>
      <w:r>
        <w:rPr>
          <w:rFonts w:hint="eastAsia" w:ascii="宋体" w:hAnsi="宋体" w:eastAsia="宋体" w:cs="宋体"/>
          <w:sz w:val="24"/>
          <w:szCs w:val="24"/>
        </w:rPr>
        <w:t xml:space="preserve"> </w:t>
      </w:r>
    </w:p>
    <w:p>
      <w:pPr>
        <w:spacing w:line="600" w:lineRule="exact"/>
        <w:ind w:firstLine="442" w:firstLineChars="200"/>
        <w:jc w:val="left"/>
        <w:rPr>
          <w:rFonts w:hint="eastAsia" w:ascii="宋体" w:hAnsi="宋体" w:eastAsia="宋体" w:cs="宋体"/>
          <w:sz w:val="24"/>
          <w:szCs w:val="24"/>
        </w:rPr>
      </w:pPr>
      <w:r>
        <w:rPr>
          <w:rFonts w:hint="eastAsia" w:ascii="宋体" w:hAnsi="宋体" w:eastAsia="宋体" w:cs="宋体"/>
          <w:sz w:val="24"/>
          <w:szCs w:val="24"/>
        </w:rPr>
        <w:t>本次招标项目主要负责标致公司职工午餐和日常来客招待用餐及加班餐。</w:t>
      </w:r>
    </w:p>
    <w:p>
      <w:pPr>
        <w:spacing w:line="600" w:lineRule="exact"/>
        <w:ind w:firstLine="442" w:firstLineChars="200"/>
        <w:jc w:val="left"/>
        <w:rPr>
          <w:rFonts w:hint="eastAsia" w:ascii="宋体" w:hAnsi="宋体" w:eastAsia="宋体" w:cs="宋体"/>
          <w:kern w:val="1"/>
          <w:sz w:val="24"/>
          <w:szCs w:val="24"/>
        </w:rPr>
      </w:pPr>
      <w:r>
        <w:rPr>
          <w:rFonts w:hint="eastAsia" w:ascii="宋体" w:hAnsi="宋体" w:eastAsia="宋体" w:cs="宋体"/>
          <w:kern w:val="1"/>
          <w:sz w:val="24"/>
          <w:szCs w:val="24"/>
        </w:rPr>
        <w:t>1、职工餐厅面积约700平方米，各功能区分布在2个楼层，1层操作间、2层配餐区、员工就餐区，工作日常就餐需求人员约300人，开餐时间11：30-12：30。</w:t>
      </w:r>
    </w:p>
    <w:p>
      <w:pPr>
        <w:spacing w:line="600" w:lineRule="exact"/>
        <w:ind w:firstLine="442" w:firstLineChars="200"/>
        <w:jc w:val="left"/>
        <w:rPr>
          <w:rFonts w:hint="eastAsia" w:ascii="宋体" w:hAnsi="宋体" w:eastAsia="宋体" w:cs="宋体"/>
          <w:b/>
          <w:sz w:val="24"/>
          <w:szCs w:val="24"/>
        </w:rPr>
      </w:pPr>
      <w:r>
        <w:rPr>
          <w:rFonts w:hint="eastAsia" w:ascii="宋体" w:hAnsi="宋体" w:eastAsia="宋体" w:cs="宋体"/>
          <w:kern w:val="1"/>
          <w:sz w:val="24"/>
          <w:szCs w:val="24"/>
        </w:rPr>
        <w:t>2、日常不定时需要满足会议、外部供应商等就餐需求。非工作日午餐根据我司计划工作安排，实际确定就餐人数。</w:t>
      </w:r>
    </w:p>
    <w:p>
      <w:pPr>
        <w:spacing w:line="600" w:lineRule="exact"/>
        <w:ind w:firstLine="442" w:firstLineChars="200"/>
        <w:jc w:val="left"/>
        <w:rPr>
          <w:rFonts w:hint="eastAsia" w:ascii="宋体" w:hAnsi="宋体" w:eastAsia="宋体" w:cs="宋体"/>
          <w:sz w:val="24"/>
          <w:szCs w:val="24"/>
        </w:rPr>
      </w:pPr>
      <w:r>
        <w:rPr>
          <w:rFonts w:hint="eastAsia" w:ascii="宋体" w:hAnsi="宋体" w:eastAsia="宋体" w:cs="宋体"/>
          <w:sz w:val="24"/>
          <w:szCs w:val="24"/>
        </w:rPr>
        <w:t>3、班后加班根据公司计划要求安排，晚加班就餐时间：16：45-5：00（配送方式：配送到车间各分部公共休息区）。</w:t>
      </w:r>
    </w:p>
    <w:p>
      <w:pPr>
        <w:spacing w:line="600" w:lineRule="exact"/>
        <w:ind w:firstLine="446" w:firstLineChars="202"/>
        <w:jc w:val="left"/>
        <w:rPr>
          <w:rFonts w:hint="eastAsia" w:ascii="宋体" w:hAnsi="宋体" w:eastAsia="宋体" w:cs="宋体"/>
          <w:b/>
          <w:sz w:val="24"/>
          <w:szCs w:val="24"/>
          <w:u w:val="single"/>
        </w:rPr>
      </w:pPr>
      <w:r>
        <w:rPr>
          <w:rFonts w:hint="eastAsia" w:ascii="宋体" w:hAnsi="宋体" w:eastAsia="宋体" w:cs="宋体"/>
          <w:sz w:val="24"/>
          <w:szCs w:val="24"/>
        </w:rPr>
        <w:t>4、承包时间:</w:t>
      </w:r>
      <w:r>
        <w:rPr>
          <w:rFonts w:hint="eastAsia" w:ascii="宋体" w:hAnsi="宋体" w:eastAsia="宋体" w:cs="宋体"/>
          <w:b/>
          <w:sz w:val="24"/>
          <w:szCs w:val="24"/>
          <w:u w:val="single"/>
        </w:rPr>
        <w:t>合同招标期限为三年；根据公司对食堂运营方的综合评价，双方无异议可在上年合同结束前一个月续签下一年合同。</w:t>
      </w:r>
    </w:p>
    <w:p>
      <w:pPr>
        <w:spacing w:line="600" w:lineRule="exact"/>
        <w:ind w:firstLine="442" w:firstLineChars="200"/>
        <w:jc w:val="left"/>
        <w:rPr>
          <w:rFonts w:hint="eastAsia" w:ascii="宋体" w:hAnsi="宋体" w:eastAsia="宋体" w:cs="宋体"/>
          <w:sz w:val="24"/>
          <w:szCs w:val="24"/>
        </w:rPr>
      </w:pPr>
      <w:r>
        <w:rPr>
          <w:rFonts w:hint="eastAsia" w:ascii="宋体" w:hAnsi="宋体" w:eastAsia="宋体" w:cs="宋体"/>
          <w:sz w:val="24"/>
          <w:szCs w:val="24"/>
        </w:rPr>
        <w:t>5、承包经营期间，餐厅水、电、天然气费用、排烟机清洗及基础设施以及餐桌餐具厨具等现有设备由轻骑标致承担，如有损坏由轻骑标致负责维修及承担相关费用。</w:t>
      </w:r>
    </w:p>
    <w:p>
      <w:pPr>
        <w:pStyle w:val="50"/>
        <w:ind w:firstLine="562"/>
        <w:rPr>
          <w:rFonts w:hint="eastAsia" w:ascii="宋体" w:hAnsi="宋体" w:eastAsia="宋体" w:cs="宋体"/>
          <w:b/>
          <w:sz w:val="24"/>
          <w:szCs w:val="24"/>
        </w:rPr>
      </w:pPr>
      <w:r>
        <w:rPr>
          <w:rFonts w:hint="eastAsia" w:ascii="宋体" w:hAnsi="宋体" w:eastAsia="宋体" w:cs="宋体"/>
          <w:b/>
          <w:sz w:val="24"/>
          <w:szCs w:val="24"/>
        </w:rPr>
        <w:t xml:space="preserve">三、资质条件: </w:t>
      </w:r>
    </w:p>
    <w:p>
      <w:pPr>
        <w:pStyle w:val="50"/>
        <w:ind w:firstLine="560"/>
        <w:rPr>
          <w:rFonts w:hint="eastAsia" w:ascii="宋体" w:hAnsi="宋体" w:eastAsia="宋体" w:cs="宋体"/>
          <w:sz w:val="24"/>
          <w:szCs w:val="24"/>
        </w:rPr>
      </w:pPr>
      <w:r>
        <w:rPr>
          <w:rFonts w:hint="eastAsia" w:ascii="宋体" w:hAnsi="宋体" w:eastAsia="宋体" w:cs="宋体"/>
          <w:sz w:val="24"/>
          <w:szCs w:val="24"/>
        </w:rPr>
        <w:t xml:space="preserve">1、投标人应是中华人民共和国境内法律上和财务上独立的法人或依法登记注册的组织。 </w:t>
      </w:r>
    </w:p>
    <w:p>
      <w:pPr>
        <w:pStyle w:val="50"/>
        <w:ind w:firstLine="560"/>
        <w:rPr>
          <w:rFonts w:hint="eastAsia" w:ascii="宋体" w:hAnsi="宋体" w:eastAsia="宋体" w:cs="宋体"/>
          <w:sz w:val="24"/>
          <w:szCs w:val="24"/>
        </w:rPr>
      </w:pPr>
      <w:r>
        <w:rPr>
          <w:rFonts w:hint="eastAsia" w:ascii="宋体" w:hAnsi="宋体" w:eastAsia="宋体" w:cs="宋体"/>
          <w:sz w:val="24"/>
          <w:szCs w:val="24"/>
        </w:rPr>
        <w:t>2、投标人的法定代表人或单位负责人为同一人或者存在控股、管理关系的不同单位，不得参加同一招标项目的投标。</w:t>
      </w:r>
    </w:p>
    <w:p>
      <w:pPr>
        <w:pStyle w:val="50"/>
        <w:ind w:firstLine="560"/>
        <w:rPr>
          <w:rFonts w:hint="eastAsia" w:ascii="宋体" w:hAnsi="宋体" w:eastAsia="宋体" w:cs="宋体"/>
          <w:sz w:val="24"/>
          <w:szCs w:val="24"/>
        </w:rPr>
      </w:pPr>
      <w:r>
        <w:rPr>
          <w:rFonts w:hint="eastAsia" w:ascii="宋体" w:hAnsi="宋体" w:eastAsia="宋体" w:cs="宋体"/>
          <w:sz w:val="24"/>
          <w:szCs w:val="24"/>
        </w:rPr>
        <w:t>3、投标人具有《食品生产许可证》或《食品经营许可证》。</w:t>
      </w:r>
    </w:p>
    <w:p>
      <w:pPr>
        <w:pStyle w:val="50"/>
        <w:ind w:firstLine="560"/>
        <w:rPr>
          <w:rFonts w:hint="eastAsia" w:ascii="宋体" w:hAnsi="宋体" w:eastAsia="宋体" w:cs="宋体"/>
          <w:sz w:val="24"/>
          <w:szCs w:val="24"/>
        </w:rPr>
      </w:pPr>
      <w:r>
        <w:rPr>
          <w:rFonts w:hint="eastAsia" w:ascii="宋体" w:hAnsi="宋体" w:eastAsia="宋体" w:cs="宋体"/>
          <w:sz w:val="24"/>
          <w:szCs w:val="24"/>
        </w:rPr>
        <w:t>4、服务工作人员持有有效期内的个人健康证，到期前1个月需及时办理新健康证件。</w:t>
      </w:r>
    </w:p>
    <w:p>
      <w:pPr>
        <w:pStyle w:val="50"/>
        <w:ind w:firstLine="560"/>
        <w:rPr>
          <w:rFonts w:hint="eastAsia" w:ascii="宋体" w:hAnsi="宋体" w:eastAsia="宋体" w:cs="宋体"/>
          <w:sz w:val="24"/>
          <w:szCs w:val="24"/>
        </w:rPr>
      </w:pPr>
      <w:r>
        <w:rPr>
          <w:rFonts w:hint="eastAsia" w:ascii="宋体" w:hAnsi="宋体" w:eastAsia="宋体" w:cs="宋体"/>
          <w:sz w:val="24"/>
          <w:szCs w:val="24"/>
        </w:rPr>
        <w:t>5、投标人近3年（2020年1月1日至今）至少一项同等规模餐厅运营管理服务项目（同时具有承接过300人以上餐厅委托管理项目业绩、且无重大食品安全事故记录），并提供合同原件。</w:t>
      </w:r>
    </w:p>
    <w:p>
      <w:pPr>
        <w:pStyle w:val="50"/>
        <w:ind w:firstLine="560"/>
        <w:rPr>
          <w:rFonts w:hint="eastAsia" w:ascii="宋体" w:hAnsi="宋体" w:eastAsia="宋体" w:cs="宋体"/>
          <w:sz w:val="24"/>
          <w:szCs w:val="24"/>
        </w:rPr>
      </w:pPr>
      <w:r>
        <w:rPr>
          <w:rFonts w:hint="eastAsia" w:ascii="宋体" w:hAnsi="宋体" w:eastAsia="宋体" w:cs="宋体"/>
          <w:sz w:val="24"/>
          <w:szCs w:val="24"/>
        </w:rPr>
        <w:t>6、投标人近3年内在经营活动中无重大违法记录，被“信用中国”（www.creditchina.gov.cn）列入失信被执行人名单或重大税收违法案件当事人名单或被中国政府采购网（www.ccgp.gov.cn）列入政府采购严重违法失信行为记录名单或被国家企业信用信息公示系统（www.gsxt.gov.cn）列入严重违法失信企业名单；</w:t>
      </w:r>
    </w:p>
    <w:p>
      <w:pPr>
        <w:pStyle w:val="50"/>
        <w:ind w:firstLine="560"/>
        <w:rPr>
          <w:rFonts w:hint="eastAsia" w:ascii="宋体" w:hAnsi="宋体" w:eastAsia="宋体" w:cs="宋体"/>
          <w:sz w:val="24"/>
          <w:szCs w:val="24"/>
        </w:rPr>
      </w:pPr>
      <w:r>
        <w:rPr>
          <w:rFonts w:hint="eastAsia" w:ascii="宋体" w:hAnsi="宋体" w:eastAsia="宋体" w:cs="宋体"/>
          <w:sz w:val="24"/>
          <w:szCs w:val="24"/>
        </w:rPr>
        <w:t>7、本项目不接受联合体，中标后不得分包或转包。</w:t>
      </w:r>
    </w:p>
    <w:p>
      <w:pPr>
        <w:pStyle w:val="50"/>
        <w:ind w:firstLine="560"/>
        <w:rPr>
          <w:rFonts w:hint="eastAsia" w:ascii="宋体" w:hAnsi="宋体" w:eastAsia="宋体" w:cs="宋体"/>
          <w:sz w:val="24"/>
          <w:szCs w:val="24"/>
        </w:rPr>
      </w:pPr>
      <w:r>
        <w:rPr>
          <w:rFonts w:hint="eastAsia" w:ascii="宋体" w:hAnsi="宋体" w:eastAsia="宋体" w:cs="宋体"/>
          <w:sz w:val="24"/>
          <w:szCs w:val="24"/>
        </w:rPr>
        <w:t>8、投标人需提供至少一家目前运营的的项目供招标人进行现场考察；投标人也需提前到招标人现场进行查勘以便充分了解食堂情况；对未进行双方现场考察的投标无效。</w:t>
      </w:r>
    </w:p>
    <w:p>
      <w:pPr>
        <w:spacing w:line="600" w:lineRule="exact"/>
        <w:ind w:firstLine="442" w:firstLineChars="200"/>
        <w:jc w:val="left"/>
        <w:rPr>
          <w:rFonts w:hint="eastAsia" w:ascii="宋体" w:hAnsi="宋体" w:eastAsia="宋体" w:cs="宋体"/>
          <w:b/>
          <w:sz w:val="24"/>
          <w:szCs w:val="24"/>
        </w:rPr>
      </w:pPr>
      <w:r>
        <w:rPr>
          <w:rFonts w:hint="eastAsia" w:ascii="宋体" w:hAnsi="宋体" w:eastAsia="宋体" w:cs="宋体"/>
          <w:b/>
          <w:bCs/>
          <w:kern w:val="1"/>
          <w:sz w:val="24"/>
          <w:szCs w:val="24"/>
        </w:rPr>
        <w:t>四、岗位人员</w:t>
      </w:r>
      <w:r>
        <w:rPr>
          <w:rFonts w:hint="eastAsia" w:ascii="宋体" w:hAnsi="宋体" w:eastAsia="宋体" w:cs="宋体"/>
          <w:b/>
          <w:sz w:val="24"/>
          <w:szCs w:val="24"/>
        </w:rPr>
        <w:t>配备和食材配备要求及餐标报价：</w:t>
      </w:r>
    </w:p>
    <w:p>
      <w:pPr>
        <w:pStyle w:val="50"/>
        <w:ind w:firstLine="562"/>
        <w:rPr>
          <w:rFonts w:hint="eastAsia" w:ascii="宋体" w:hAnsi="宋体" w:eastAsia="宋体" w:cs="宋体"/>
          <w:b/>
          <w:sz w:val="24"/>
          <w:szCs w:val="24"/>
        </w:rPr>
      </w:pPr>
      <w:r>
        <w:rPr>
          <w:rFonts w:hint="eastAsia" w:ascii="宋体" w:hAnsi="宋体" w:eastAsia="宋体" w:cs="宋体"/>
          <w:b/>
          <w:sz w:val="24"/>
          <w:szCs w:val="24"/>
        </w:rPr>
        <w:t>1.岗位人员配备</w:t>
      </w:r>
    </w:p>
    <w:p>
      <w:pPr>
        <w:pStyle w:val="50"/>
        <w:ind w:firstLine="562"/>
        <w:rPr>
          <w:rFonts w:hint="eastAsia" w:ascii="宋体" w:hAnsi="宋体" w:eastAsia="宋体" w:cs="宋体"/>
          <w:b/>
          <w:sz w:val="24"/>
          <w:szCs w:val="24"/>
        </w:rPr>
      </w:pPr>
      <w:r>
        <w:rPr>
          <w:rFonts w:hint="eastAsia" w:ascii="宋体" w:hAnsi="宋体" w:eastAsia="宋体" w:cs="宋体"/>
          <w:b/>
          <w:sz w:val="24"/>
          <w:szCs w:val="24"/>
        </w:rPr>
        <w:t>招标单位根据食堂以往运行经验，建议人员配备为7人；其中厨师长1人（兼任项目经理）、厨师1人、面点师2人、粗加工（兼任分餐员）3人；人员要求如下。</w:t>
      </w:r>
    </w:p>
    <w:p>
      <w:pPr>
        <w:pStyle w:val="50"/>
        <w:ind w:firstLine="562"/>
        <w:rPr>
          <w:rFonts w:hint="eastAsia" w:ascii="宋体" w:hAnsi="宋体" w:eastAsia="宋体" w:cs="宋体"/>
          <w:b/>
          <w:sz w:val="24"/>
          <w:szCs w:val="24"/>
        </w:rPr>
      </w:pPr>
    </w:p>
    <w:tbl>
      <w:tblPr>
        <w:tblStyle w:val="25"/>
        <w:tblW w:w="6885" w:type="dxa"/>
        <w:jc w:val="center"/>
        <w:tblLayout w:type="fixed"/>
        <w:tblCellMar>
          <w:top w:w="0" w:type="dxa"/>
          <w:left w:w="108" w:type="dxa"/>
          <w:bottom w:w="0" w:type="dxa"/>
          <w:right w:w="108" w:type="dxa"/>
        </w:tblCellMar>
      </w:tblPr>
      <w:tblGrid>
        <w:gridCol w:w="1134"/>
        <w:gridCol w:w="1144"/>
        <w:gridCol w:w="4607"/>
      </w:tblGrid>
      <w:tr>
        <w:tblPrEx>
          <w:tblCellMar>
            <w:top w:w="0" w:type="dxa"/>
            <w:left w:w="108" w:type="dxa"/>
            <w:bottom w:w="0" w:type="dxa"/>
            <w:right w:w="108" w:type="dxa"/>
          </w:tblCellMar>
        </w:tblPrEx>
        <w:trPr>
          <w:trHeight w:val="309" w:hRule="atLeast"/>
          <w:jc w:val="center"/>
        </w:trPr>
        <w:tc>
          <w:tcPr>
            <w:tcW w:w="1134" w:type="dxa"/>
            <w:tcBorders>
              <w:top w:val="single" w:color="auto" w:sz="4" w:space="0"/>
              <w:left w:val="single" w:color="auto" w:sz="4" w:space="0"/>
              <w:bottom w:val="single" w:color="000000" w:sz="4" w:space="0"/>
              <w:right w:val="single" w:color="000000" w:sz="4" w:space="0"/>
            </w:tcBorders>
            <w:vAlign w:val="center"/>
          </w:tcPr>
          <w:p>
            <w:pPr>
              <w:spacing w:line="500" w:lineRule="exact"/>
              <w:jc w:val="center"/>
              <w:rPr>
                <w:rFonts w:hint="eastAsia" w:ascii="宋体" w:hAnsi="宋体" w:eastAsia="宋体" w:cs="宋体"/>
                <w:b/>
                <w:kern w:val="1"/>
                <w:sz w:val="24"/>
                <w:szCs w:val="24"/>
              </w:rPr>
            </w:pPr>
            <w:r>
              <w:rPr>
                <w:rFonts w:hint="eastAsia" w:ascii="宋体" w:hAnsi="宋体" w:eastAsia="宋体" w:cs="宋体"/>
                <w:b/>
                <w:kern w:val="1"/>
                <w:sz w:val="24"/>
                <w:szCs w:val="24"/>
              </w:rPr>
              <w:t>岗位</w:t>
            </w:r>
          </w:p>
        </w:tc>
        <w:tc>
          <w:tcPr>
            <w:tcW w:w="114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kern w:val="1"/>
                <w:sz w:val="24"/>
                <w:szCs w:val="24"/>
              </w:rPr>
            </w:pPr>
            <w:r>
              <w:rPr>
                <w:rFonts w:hint="eastAsia" w:ascii="宋体" w:hAnsi="宋体" w:eastAsia="宋体" w:cs="宋体"/>
                <w:b/>
                <w:kern w:val="1"/>
                <w:sz w:val="24"/>
                <w:szCs w:val="24"/>
              </w:rPr>
              <w:t>年龄要求</w:t>
            </w:r>
          </w:p>
        </w:tc>
        <w:tc>
          <w:tcPr>
            <w:tcW w:w="46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kern w:val="1"/>
                <w:sz w:val="24"/>
                <w:szCs w:val="24"/>
              </w:rPr>
            </w:pPr>
            <w:r>
              <w:rPr>
                <w:rFonts w:hint="eastAsia" w:ascii="宋体" w:hAnsi="宋体" w:eastAsia="宋体" w:cs="宋体"/>
                <w:b/>
                <w:kern w:val="1"/>
                <w:sz w:val="24"/>
                <w:szCs w:val="24"/>
              </w:rPr>
              <w:t>从业要求</w:t>
            </w:r>
          </w:p>
        </w:tc>
      </w:tr>
      <w:tr>
        <w:tblPrEx>
          <w:tblCellMar>
            <w:top w:w="0" w:type="dxa"/>
            <w:left w:w="108" w:type="dxa"/>
            <w:bottom w:w="0" w:type="dxa"/>
            <w:right w:w="108" w:type="dxa"/>
          </w:tblCellMar>
        </w:tblPrEx>
        <w:trPr>
          <w:trHeight w:val="378" w:hRule="atLeast"/>
          <w:jc w:val="center"/>
        </w:trPr>
        <w:tc>
          <w:tcPr>
            <w:tcW w:w="1134" w:type="dxa"/>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hint="eastAsia" w:ascii="宋体" w:hAnsi="宋体" w:eastAsia="宋体" w:cs="宋体"/>
                <w:kern w:val="1"/>
                <w:sz w:val="24"/>
                <w:szCs w:val="24"/>
              </w:rPr>
            </w:pPr>
            <w:bookmarkStart w:id="504" w:name="OLE_LINK1" w:colFirst="0" w:colLast="1"/>
            <w:r>
              <w:rPr>
                <w:rFonts w:hint="eastAsia" w:ascii="宋体" w:hAnsi="宋体" w:eastAsia="宋体" w:cs="宋体"/>
                <w:kern w:val="1"/>
                <w:sz w:val="24"/>
                <w:szCs w:val="24"/>
              </w:rPr>
              <w:t>项目经理</w:t>
            </w:r>
          </w:p>
        </w:tc>
        <w:tc>
          <w:tcPr>
            <w:tcW w:w="1144" w:type="dxa"/>
            <w:tcBorders>
              <w:top w:val="nil"/>
              <w:left w:val="nil"/>
              <w:bottom w:val="single" w:color="auto" w:sz="4" w:space="0"/>
              <w:right w:val="single" w:color="auto" w:sz="4" w:space="0"/>
            </w:tcBorders>
            <w:vAlign w:val="center"/>
          </w:tcPr>
          <w:p>
            <w:pPr>
              <w:spacing w:line="50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≦45</w:t>
            </w:r>
          </w:p>
        </w:tc>
        <w:tc>
          <w:tcPr>
            <w:tcW w:w="4607" w:type="dxa"/>
            <w:tcBorders>
              <w:top w:val="nil"/>
              <w:left w:val="nil"/>
              <w:bottom w:val="single" w:color="auto" w:sz="4" w:space="0"/>
              <w:right w:val="single" w:color="auto" w:sz="4" w:space="0"/>
            </w:tcBorders>
            <w:vAlign w:val="center"/>
          </w:tcPr>
          <w:p>
            <w:pPr>
              <w:spacing w:line="50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具有5年以上相关工作经验</w:t>
            </w:r>
          </w:p>
        </w:tc>
      </w:tr>
      <w:bookmarkEnd w:id="504"/>
      <w:tr>
        <w:tblPrEx>
          <w:tblCellMar>
            <w:top w:w="0" w:type="dxa"/>
            <w:left w:w="108" w:type="dxa"/>
            <w:bottom w:w="0" w:type="dxa"/>
            <w:right w:w="108" w:type="dxa"/>
          </w:tblCellMar>
        </w:tblPrEx>
        <w:trPr>
          <w:trHeight w:val="297" w:hRule="atLeast"/>
          <w:jc w:val="center"/>
        </w:trPr>
        <w:tc>
          <w:tcPr>
            <w:tcW w:w="1134" w:type="dxa"/>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厨师长</w:t>
            </w:r>
          </w:p>
        </w:tc>
        <w:tc>
          <w:tcPr>
            <w:tcW w:w="1144" w:type="dxa"/>
            <w:tcBorders>
              <w:top w:val="nil"/>
              <w:left w:val="nil"/>
              <w:bottom w:val="single" w:color="auto" w:sz="4" w:space="0"/>
              <w:right w:val="single" w:color="auto" w:sz="4" w:space="0"/>
            </w:tcBorders>
            <w:vAlign w:val="center"/>
          </w:tcPr>
          <w:p>
            <w:pPr>
              <w:spacing w:line="50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≦45</w:t>
            </w:r>
          </w:p>
        </w:tc>
        <w:tc>
          <w:tcPr>
            <w:tcW w:w="46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具有5年以上相关工作经验</w:t>
            </w:r>
          </w:p>
        </w:tc>
      </w:tr>
      <w:tr>
        <w:tblPrEx>
          <w:tblCellMar>
            <w:top w:w="0" w:type="dxa"/>
            <w:left w:w="108" w:type="dxa"/>
            <w:bottom w:w="0" w:type="dxa"/>
            <w:right w:w="108" w:type="dxa"/>
          </w:tblCellMar>
        </w:tblPrEx>
        <w:trPr>
          <w:trHeight w:val="653" w:hRule="atLeast"/>
          <w:jc w:val="center"/>
        </w:trPr>
        <w:tc>
          <w:tcPr>
            <w:tcW w:w="1134" w:type="dxa"/>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厨师</w:t>
            </w:r>
          </w:p>
        </w:tc>
        <w:tc>
          <w:tcPr>
            <w:tcW w:w="1144" w:type="dxa"/>
            <w:tcBorders>
              <w:top w:val="nil"/>
              <w:left w:val="nil"/>
              <w:bottom w:val="single" w:color="auto" w:sz="4" w:space="0"/>
              <w:right w:val="single" w:color="auto" w:sz="4" w:space="0"/>
            </w:tcBorders>
            <w:vAlign w:val="center"/>
          </w:tcPr>
          <w:p>
            <w:pPr>
              <w:spacing w:line="50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≦45</w:t>
            </w:r>
          </w:p>
        </w:tc>
        <w:tc>
          <w:tcPr>
            <w:tcW w:w="46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具有3年以上相关工作经验</w:t>
            </w:r>
          </w:p>
        </w:tc>
      </w:tr>
      <w:tr>
        <w:tblPrEx>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nil"/>
              <w:right w:val="single" w:color="000000" w:sz="4" w:space="0"/>
            </w:tcBorders>
            <w:vAlign w:val="center"/>
          </w:tcPr>
          <w:p>
            <w:pPr>
              <w:spacing w:line="50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粗加工</w:t>
            </w:r>
          </w:p>
        </w:tc>
        <w:tc>
          <w:tcPr>
            <w:tcW w:w="1144" w:type="dxa"/>
            <w:tcBorders>
              <w:top w:val="nil"/>
              <w:left w:val="nil"/>
              <w:bottom w:val="single" w:color="auto" w:sz="4" w:space="0"/>
              <w:right w:val="single" w:color="auto" w:sz="4" w:space="0"/>
            </w:tcBorders>
            <w:vAlign w:val="center"/>
          </w:tcPr>
          <w:p>
            <w:pPr>
              <w:spacing w:line="50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≦55</w:t>
            </w:r>
          </w:p>
        </w:tc>
        <w:tc>
          <w:tcPr>
            <w:tcW w:w="46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具有3年以上相关工作经验</w:t>
            </w:r>
          </w:p>
        </w:tc>
      </w:tr>
      <w:tr>
        <w:tblPrEx>
          <w:tblCellMar>
            <w:top w:w="0" w:type="dxa"/>
            <w:left w:w="108" w:type="dxa"/>
            <w:bottom w:w="0" w:type="dxa"/>
            <w:right w:w="108" w:type="dxa"/>
          </w:tblCellMar>
        </w:tblPrEx>
        <w:trPr>
          <w:trHeight w:val="700" w:hRule="atLeast"/>
          <w:jc w:val="center"/>
        </w:trPr>
        <w:tc>
          <w:tcPr>
            <w:tcW w:w="1134" w:type="dxa"/>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面点师</w:t>
            </w:r>
          </w:p>
        </w:tc>
        <w:tc>
          <w:tcPr>
            <w:tcW w:w="1144" w:type="dxa"/>
            <w:tcBorders>
              <w:top w:val="nil"/>
              <w:left w:val="nil"/>
              <w:bottom w:val="single" w:color="auto" w:sz="4" w:space="0"/>
              <w:right w:val="single" w:color="auto" w:sz="4" w:space="0"/>
            </w:tcBorders>
            <w:vAlign w:val="center"/>
          </w:tcPr>
          <w:p>
            <w:pPr>
              <w:spacing w:line="50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≦45</w:t>
            </w:r>
          </w:p>
        </w:tc>
        <w:tc>
          <w:tcPr>
            <w:tcW w:w="46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具有3年以上相关工作经验</w:t>
            </w:r>
          </w:p>
        </w:tc>
      </w:tr>
    </w:tbl>
    <w:p>
      <w:pPr>
        <w:pStyle w:val="50"/>
        <w:ind w:firstLine="562"/>
        <w:rPr>
          <w:rFonts w:hint="eastAsia" w:ascii="宋体" w:hAnsi="宋体" w:eastAsia="宋体" w:cs="宋体"/>
          <w:b/>
          <w:sz w:val="24"/>
          <w:szCs w:val="24"/>
        </w:rPr>
      </w:pPr>
      <w:r>
        <w:rPr>
          <w:rFonts w:hint="eastAsia" w:ascii="宋体" w:hAnsi="宋体" w:eastAsia="宋体" w:cs="宋体"/>
          <w:b/>
          <w:sz w:val="24"/>
          <w:szCs w:val="24"/>
        </w:rPr>
        <w:t>2.各餐食材及食物配比要求：</w:t>
      </w:r>
    </w:p>
    <w:p>
      <w:pPr>
        <w:widowControl/>
        <w:spacing w:line="600" w:lineRule="exact"/>
        <w:ind w:firstLine="442" w:firstLineChars="200"/>
        <w:rPr>
          <w:rFonts w:hint="eastAsia" w:ascii="宋体" w:hAnsi="宋体" w:eastAsia="宋体" w:cs="宋体"/>
          <w:kern w:val="0"/>
          <w:sz w:val="24"/>
          <w:szCs w:val="24"/>
          <w:lang w:val="zh-CN"/>
        </w:rPr>
      </w:pPr>
      <w:bookmarkStart w:id="505" w:name="_Toc199405432"/>
      <w:bookmarkStart w:id="506" w:name="_Toc200444576"/>
      <w:bookmarkStart w:id="507" w:name="_Toc199407401"/>
      <w:bookmarkStart w:id="508" w:name="_Toc360458754"/>
      <w:bookmarkStart w:id="509" w:name="_Toc199578861"/>
      <w:r>
        <w:rPr>
          <w:rFonts w:hint="eastAsia" w:ascii="宋体" w:hAnsi="宋体" w:eastAsia="宋体" w:cs="宋体"/>
          <w:kern w:val="0"/>
          <w:sz w:val="24"/>
          <w:szCs w:val="24"/>
          <w:lang w:val="zh-CN"/>
        </w:rPr>
        <w:t>2.1午餐</w:t>
      </w:r>
    </w:p>
    <w:tbl>
      <w:tblPr>
        <w:tblStyle w:val="25"/>
        <w:tblW w:w="7088"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843"/>
        <w:gridCol w:w="1276"/>
        <w:gridCol w:w="396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791" w:hRule="atLeast"/>
          <w:jc w:val="center"/>
        </w:trPr>
        <w:tc>
          <w:tcPr>
            <w:tcW w:w="1843" w:type="dxa"/>
            <w:tcBorders>
              <w:right w:val="single" w:color="auto" w:sz="4" w:space="0"/>
            </w:tcBorders>
            <w:vAlign w:val="center"/>
          </w:tcPr>
          <w:p>
            <w:pPr>
              <w:widowControl/>
              <w:spacing w:line="400" w:lineRule="exact"/>
              <w:ind w:firstLine="424" w:firstLineChars="192"/>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类别</w:t>
            </w:r>
          </w:p>
        </w:tc>
        <w:tc>
          <w:tcPr>
            <w:tcW w:w="1276" w:type="dxa"/>
            <w:tcBorders>
              <w:lef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供餐方式</w:t>
            </w:r>
          </w:p>
        </w:tc>
        <w:tc>
          <w:tcPr>
            <w:tcW w:w="3969" w:type="dxa"/>
            <w:tcBorders>
              <w:left w:val="single" w:color="auto" w:sz="4" w:space="0"/>
            </w:tcBorders>
            <w:vAlign w:val="center"/>
          </w:tcPr>
          <w:p>
            <w:pPr>
              <w:widowControl/>
              <w:spacing w:line="400" w:lineRule="exact"/>
              <w:ind w:firstLine="1529" w:firstLineChars="692"/>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276" w:hRule="atLeast"/>
          <w:jc w:val="center"/>
        </w:trPr>
        <w:tc>
          <w:tcPr>
            <w:tcW w:w="1843" w:type="dxa"/>
            <w:tcBorders>
              <w:righ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大荤 (肉类/海鲜类/禽类)</w:t>
            </w:r>
          </w:p>
        </w:tc>
        <w:tc>
          <w:tcPr>
            <w:tcW w:w="1276" w:type="dxa"/>
            <w:tcBorders>
              <w:lef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二选一</w:t>
            </w:r>
          </w:p>
        </w:tc>
        <w:tc>
          <w:tcPr>
            <w:tcW w:w="3969" w:type="dxa"/>
            <w:tcBorders>
              <w:lef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每份150克，主料不低于五分之四，一周内不重样</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426" w:hRule="atLeast"/>
          <w:jc w:val="center"/>
        </w:trPr>
        <w:tc>
          <w:tcPr>
            <w:tcW w:w="1843" w:type="dxa"/>
            <w:tcBorders>
              <w:righ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小荤 </w:t>
            </w:r>
          </w:p>
        </w:tc>
        <w:tc>
          <w:tcPr>
            <w:tcW w:w="1276" w:type="dxa"/>
            <w:tcBorders>
              <w:lef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一选一</w:t>
            </w:r>
          </w:p>
        </w:tc>
        <w:tc>
          <w:tcPr>
            <w:tcW w:w="3969" w:type="dxa"/>
            <w:tcBorders>
              <w:lef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每份150克，主料肉类20-40克、蛋类40-50克、豆制品50-120克</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451" w:hRule="atLeast"/>
          <w:jc w:val="center"/>
        </w:trPr>
        <w:tc>
          <w:tcPr>
            <w:tcW w:w="1843" w:type="dxa"/>
            <w:tcBorders>
              <w:righ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素菜 </w:t>
            </w:r>
          </w:p>
        </w:tc>
        <w:tc>
          <w:tcPr>
            <w:tcW w:w="1276" w:type="dxa"/>
            <w:tcBorders>
              <w:lef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二选一</w:t>
            </w:r>
          </w:p>
        </w:tc>
        <w:tc>
          <w:tcPr>
            <w:tcW w:w="3969" w:type="dxa"/>
            <w:tcBorders>
              <w:lef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每份150克、可续添</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570" w:hRule="atLeast"/>
          <w:jc w:val="center"/>
        </w:trPr>
        <w:tc>
          <w:tcPr>
            <w:tcW w:w="1843" w:type="dxa"/>
            <w:tcBorders>
              <w:righ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主食 (米饭/馒头)</w:t>
            </w:r>
          </w:p>
        </w:tc>
        <w:tc>
          <w:tcPr>
            <w:tcW w:w="1276" w:type="dxa"/>
            <w:tcBorders>
              <w:lef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任选</w:t>
            </w:r>
          </w:p>
        </w:tc>
        <w:tc>
          <w:tcPr>
            <w:tcW w:w="3969" w:type="dxa"/>
            <w:tcBorders>
              <w:lef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可续添</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550" w:hRule="atLeast"/>
          <w:jc w:val="center"/>
        </w:trPr>
        <w:tc>
          <w:tcPr>
            <w:tcW w:w="1843" w:type="dxa"/>
            <w:tcBorders>
              <w:righ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花样面食</w:t>
            </w:r>
          </w:p>
        </w:tc>
        <w:tc>
          <w:tcPr>
            <w:tcW w:w="1276" w:type="dxa"/>
            <w:tcBorders>
              <w:left w:val="single" w:color="auto" w:sz="4" w:space="0"/>
              <w:bottom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单选</w:t>
            </w:r>
          </w:p>
        </w:tc>
        <w:tc>
          <w:tcPr>
            <w:tcW w:w="3969" w:type="dxa"/>
            <w:tcBorders>
              <w:left w:val="single" w:color="auto" w:sz="4" w:space="0"/>
              <w:bottom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含烤薯、玉米、南瓜等粗粮</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686" w:hRule="atLeast"/>
          <w:jc w:val="center"/>
        </w:trPr>
        <w:tc>
          <w:tcPr>
            <w:tcW w:w="1843" w:type="dxa"/>
            <w:tcBorders>
              <w:righ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特色小吃</w:t>
            </w:r>
          </w:p>
        </w:tc>
        <w:tc>
          <w:tcPr>
            <w:tcW w:w="1276" w:type="dxa"/>
            <w:tcBorders>
              <w:left w:val="single" w:color="auto" w:sz="4" w:space="0"/>
              <w:bottom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单选</w:t>
            </w:r>
          </w:p>
        </w:tc>
        <w:tc>
          <w:tcPr>
            <w:tcW w:w="3969" w:type="dxa"/>
            <w:tcBorders>
              <w:left w:val="single" w:color="auto" w:sz="4" w:space="0"/>
              <w:bottom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686" w:hRule="atLeast"/>
          <w:jc w:val="center"/>
        </w:trPr>
        <w:tc>
          <w:tcPr>
            <w:tcW w:w="1843" w:type="dxa"/>
            <w:tcBorders>
              <w:righ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水果、牛奶</w:t>
            </w:r>
          </w:p>
        </w:tc>
        <w:tc>
          <w:tcPr>
            <w:tcW w:w="1276" w:type="dxa"/>
            <w:tcBorders>
              <w:left w:val="single" w:color="auto" w:sz="4" w:space="0"/>
              <w:bottom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单选</w:t>
            </w:r>
          </w:p>
        </w:tc>
        <w:tc>
          <w:tcPr>
            <w:tcW w:w="3969" w:type="dxa"/>
            <w:tcBorders>
              <w:left w:val="single" w:color="auto" w:sz="4" w:space="0"/>
              <w:bottom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每周两次</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569" w:hRule="atLeast"/>
          <w:jc w:val="center"/>
        </w:trPr>
        <w:tc>
          <w:tcPr>
            <w:tcW w:w="1843" w:type="dxa"/>
            <w:tcBorders>
              <w:righ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汤/粥</w:t>
            </w:r>
          </w:p>
        </w:tc>
        <w:tc>
          <w:tcPr>
            <w:tcW w:w="1276" w:type="dxa"/>
            <w:tcBorders>
              <w:lef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单选</w:t>
            </w:r>
          </w:p>
        </w:tc>
        <w:tc>
          <w:tcPr>
            <w:tcW w:w="3969" w:type="dxa"/>
            <w:tcBorders>
              <w:lef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p>
        </w:tc>
      </w:tr>
    </w:tbl>
    <w:p>
      <w:pPr>
        <w:widowControl/>
        <w:spacing w:line="600" w:lineRule="exact"/>
        <w:ind w:left="432" w:firstLine="111" w:firstLineChars="50"/>
        <w:rPr>
          <w:rFonts w:hint="eastAsia" w:ascii="宋体" w:hAnsi="宋体" w:eastAsia="宋体" w:cs="宋体"/>
          <w:kern w:val="0"/>
          <w:sz w:val="24"/>
          <w:szCs w:val="24"/>
        </w:rPr>
      </w:pPr>
    </w:p>
    <w:p>
      <w:pPr>
        <w:widowControl/>
        <w:spacing w:line="600" w:lineRule="exact"/>
        <w:ind w:left="432" w:firstLine="111" w:firstLineChars="50"/>
        <w:rPr>
          <w:rFonts w:hint="eastAsia" w:ascii="宋体" w:hAnsi="宋体" w:eastAsia="宋体" w:cs="宋体"/>
          <w:kern w:val="0"/>
          <w:sz w:val="24"/>
          <w:szCs w:val="24"/>
        </w:rPr>
      </w:pPr>
      <w:r>
        <w:rPr>
          <w:rFonts w:hint="eastAsia" w:ascii="宋体" w:hAnsi="宋体" w:eastAsia="宋体" w:cs="宋体"/>
          <w:kern w:val="0"/>
          <w:sz w:val="24"/>
          <w:szCs w:val="24"/>
        </w:rPr>
        <w:t xml:space="preserve">2.2加班晚餐 </w:t>
      </w:r>
    </w:p>
    <w:tbl>
      <w:tblPr>
        <w:tblStyle w:val="26"/>
        <w:tblW w:w="7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widowControl/>
              <w:spacing w:line="600" w:lineRule="exac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类别</w:t>
            </w:r>
          </w:p>
        </w:tc>
        <w:tc>
          <w:tcPr>
            <w:tcW w:w="1276" w:type="dxa"/>
          </w:tcPr>
          <w:p>
            <w:pPr>
              <w:widowControl/>
              <w:spacing w:line="600" w:lineRule="exac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供餐方式</w:t>
            </w:r>
          </w:p>
        </w:tc>
        <w:tc>
          <w:tcPr>
            <w:tcW w:w="3969" w:type="dxa"/>
          </w:tcPr>
          <w:p>
            <w:pPr>
              <w:widowControl/>
              <w:spacing w:line="600" w:lineRule="exac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widowControl/>
              <w:spacing w:line="400" w:lineRule="exac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大荤 (肉类/海鲜类/禽类)</w:t>
            </w:r>
          </w:p>
        </w:tc>
        <w:tc>
          <w:tcPr>
            <w:tcW w:w="1276" w:type="dxa"/>
          </w:tcPr>
          <w:p>
            <w:pPr>
              <w:widowControl/>
              <w:spacing w:line="600" w:lineRule="exac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一选一</w:t>
            </w:r>
          </w:p>
        </w:tc>
        <w:tc>
          <w:tcPr>
            <w:tcW w:w="3969" w:type="dxa"/>
          </w:tcPr>
          <w:p>
            <w:pPr>
              <w:widowControl/>
              <w:spacing w:line="400" w:lineRule="exac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每份150克，主料不低于五分之四，一周内不重样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widowControl/>
              <w:spacing w:line="600" w:lineRule="exac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小荤</w:t>
            </w:r>
          </w:p>
        </w:tc>
        <w:tc>
          <w:tcPr>
            <w:tcW w:w="1276" w:type="dxa"/>
          </w:tcPr>
          <w:p>
            <w:pPr>
              <w:widowControl/>
              <w:spacing w:line="600" w:lineRule="exact"/>
              <w:rPr>
                <w:rFonts w:hint="eastAsia" w:ascii="宋体" w:hAnsi="宋体" w:eastAsia="宋体" w:cs="宋体"/>
                <w:b/>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一选一</w:t>
            </w:r>
          </w:p>
        </w:tc>
        <w:tc>
          <w:tcPr>
            <w:tcW w:w="3969" w:type="dxa"/>
          </w:tcPr>
          <w:p>
            <w:pPr>
              <w:widowControl/>
              <w:spacing w:line="400" w:lineRule="exac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每份150克，主料肉类20-40克、蛋类40-50克、豆制品50-120克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widowControl/>
              <w:spacing w:line="400" w:lineRule="exac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主食 (米饭/馒头)</w:t>
            </w:r>
          </w:p>
        </w:tc>
        <w:tc>
          <w:tcPr>
            <w:tcW w:w="1276" w:type="dxa"/>
          </w:tcPr>
          <w:p>
            <w:pPr>
              <w:widowControl/>
              <w:spacing w:line="600" w:lineRule="exac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单选</w:t>
            </w:r>
          </w:p>
        </w:tc>
        <w:tc>
          <w:tcPr>
            <w:tcW w:w="3969" w:type="dxa"/>
          </w:tcPr>
          <w:p>
            <w:pPr>
              <w:widowControl/>
              <w:spacing w:line="600" w:lineRule="exac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米饭、馒头每份至少400克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righ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汤/粥</w:t>
            </w:r>
          </w:p>
        </w:tc>
        <w:tc>
          <w:tcPr>
            <w:tcW w:w="1276" w:type="dxa"/>
            <w:tcBorders>
              <w:left w:val="single" w:color="auto" w:sz="4" w:space="0"/>
            </w:tcBorders>
            <w:vAlign w:val="center"/>
          </w:tcPr>
          <w:p>
            <w:pPr>
              <w:widowControl/>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单选</w:t>
            </w:r>
          </w:p>
        </w:tc>
        <w:tc>
          <w:tcPr>
            <w:tcW w:w="3969" w:type="dxa"/>
          </w:tcPr>
          <w:p>
            <w:pPr>
              <w:widowControl/>
              <w:spacing w:line="600" w:lineRule="exact"/>
              <w:rPr>
                <w:rFonts w:hint="eastAsia" w:ascii="宋体" w:hAnsi="宋体" w:eastAsia="宋体" w:cs="宋体"/>
                <w:color w:val="000000" w:themeColor="text1"/>
                <w:kern w:val="0"/>
                <w:sz w:val="24"/>
                <w:szCs w:val="24"/>
                <w14:textFill>
                  <w14:solidFill>
                    <w14:schemeClr w14:val="tx1"/>
                  </w14:solidFill>
                </w14:textFill>
              </w:rPr>
            </w:pPr>
          </w:p>
        </w:tc>
      </w:tr>
    </w:tbl>
    <w:p>
      <w:pPr>
        <w:widowControl/>
        <w:spacing w:line="600" w:lineRule="exact"/>
        <w:ind w:firstLine="535" w:firstLineChars="242"/>
        <w:rPr>
          <w:rFonts w:hint="eastAsia" w:ascii="宋体" w:hAnsi="宋体" w:eastAsia="宋体" w:cs="宋体"/>
          <w:bCs/>
          <w:kern w:val="0"/>
          <w:sz w:val="24"/>
          <w:szCs w:val="24"/>
        </w:rPr>
      </w:pPr>
      <w:r>
        <w:rPr>
          <w:rFonts w:hint="eastAsia" w:ascii="宋体" w:hAnsi="宋体" w:eastAsia="宋体" w:cs="宋体"/>
          <w:bCs/>
          <w:kern w:val="0"/>
          <w:sz w:val="24"/>
          <w:szCs w:val="24"/>
        </w:rPr>
        <w:t>2.3菜单安排</w:t>
      </w:r>
    </w:p>
    <w:p>
      <w:pPr>
        <w:widowControl/>
        <w:spacing w:line="600" w:lineRule="exact"/>
        <w:ind w:firstLine="424" w:firstLineChars="192"/>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菜单执行5日计划，乙方于前一周周五前制定下周菜单计划，提交甲方进行确认；</w:t>
      </w:r>
      <w:r>
        <w:rPr>
          <w:rFonts w:hint="eastAsia" w:ascii="宋体" w:hAnsi="宋体" w:eastAsia="宋体" w:cs="宋体"/>
          <w:color w:val="000000" w:themeColor="text1"/>
          <w:kern w:val="0"/>
          <w:sz w:val="24"/>
          <w:szCs w:val="24"/>
          <w:lang w:val="zh-CN"/>
          <w14:textFill>
            <w14:solidFill>
              <w14:schemeClr w14:val="tx1"/>
            </w14:solidFill>
          </w14:textFill>
        </w:rPr>
        <w:t>乙方需积极听取甲方建议编制菜单并保证一周内菜品样式不重复。</w:t>
      </w:r>
    </w:p>
    <w:bookmarkEnd w:id="505"/>
    <w:bookmarkEnd w:id="506"/>
    <w:bookmarkEnd w:id="507"/>
    <w:bookmarkEnd w:id="508"/>
    <w:bookmarkEnd w:id="509"/>
    <w:p>
      <w:pPr>
        <w:widowControl/>
        <w:spacing w:line="600" w:lineRule="exact"/>
        <w:ind w:firstLine="424" w:firstLineChars="192"/>
        <w:rPr>
          <w:rFonts w:hint="eastAsia" w:ascii="宋体" w:hAnsi="宋体" w:eastAsia="宋体" w:cs="宋体"/>
          <w:kern w:val="0"/>
          <w:sz w:val="24"/>
          <w:szCs w:val="24"/>
        </w:rPr>
      </w:pPr>
      <w:r>
        <w:rPr>
          <w:rFonts w:hint="eastAsia" w:ascii="宋体" w:hAnsi="宋体" w:eastAsia="宋体" w:cs="宋体"/>
          <w:kern w:val="0"/>
          <w:sz w:val="24"/>
          <w:szCs w:val="24"/>
        </w:rPr>
        <w:t>双方可合作为一些特殊场合（如：新年、端午节、中秋节、国庆节等）提供各类风味菜谱，具体双方协商确定。</w:t>
      </w:r>
    </w:p>
    <w:p>
      <w:pPr>
        <w:widowControl/>
        <w:spacing w:line="600" w:lineRule="exact"/>
        <w:ind w:firstLine="424" w:firstLineChars="192"/>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3.成本报价表</w:t>
      </w:r>
    </w:p>
    <w:p>
      <w:pPr>
        <w:widowControl/>
        <w:spacing w:line="600" w:lineRule="exact"/>
        <w:ind w:firstLine="424" w:firstLineChars="192"/>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午晚餐执行固定餐标，餐标标准为15元/餐；投标企业根据自身运营方案确定食材与管理费用所占比例；合同执行期间均按照投标比例进行核算。</w:t>
      </w:r>
    </w:p>
    <w:p>
      <w:pPr>
        <w:widowControl/>
        <w:spacing w:line="600" w:lineRule="exact"/>
        <w:ind w:firstLine="424" w:firstLineChars="192"/>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3.1午餐、晚餐</w:t>
      </w:r>
    </w:p>
    <w:tbl>
      <w:tblPr>
        <w:tblStyle w:val="25"/>
        <w:tblW w:w="8813" w:type="dxa"/>
        <w:tblInd w:w="113" w:type="dxa"/>
        <w:tblLayout w:type="autofit"/>
        <w:tblCellMar>
          <w:top w:w="0" w:type="dxa"/>
          <w:left w:w="108" w:type="dxa"/>
          <w:bottom w:w="0" w:type="dxa"/>
          <w:right w:w="108" w:type="dxa"/>
        </w:tblCellMar>
      </w:tblPr>
      <w:tblGrid>
        <w:gridCol w:w="1016"/>
        <w:gridCol w:w="1276"/>
        <w:gridCol w:w="1559"/>
        <w:gridCol w:w="1843"/>
        <w:gridCol w:w="1559"/>
        <w:gridCol w:w="1560"/>
      </w:tblGrid>
      <w:tr>
        <w:tblPrEx>
          <w:tblCellMar>
            <w:top w:w="0" w:type="dxa"/>
            <w:left w:w="108" w:type="dxa"/>
            <w:bottom w:w="0" w:type="dxa"/>
            <w:right w:w="108" w:type="dxa"/>
          </w:tblCellMar>
        </w:tblPrEx>
        <w:trPr>
          <w:trHeight w:val="635" w:hRule="atLeast"/>
        </w:trPr>
        <w:tc>
          <w:tcPr>
            <w:tcW w:w="2292" w:type="dxa"/>
            <w:gridSpan w:val="2"/>
            <w:vMerge w:val="restart"/>
            <w:tcBorders>
              <w:top w:val="single" w:color="auto" w:sz="4" w:space="0"/>
              <w:left w:val="single" w:color="auto" w:sz="4" w:space="0"/>
              <w:right w:val="single" w:color="auto" w:sz="4" w:space="0"/>
            </w:tcBorders>
            <w:shd w:val="clear" w:color="auto" w:fill="auto"/>
            <w:noWrap/>
          </w:tcPr>
          <w:p>
            <w:pPr>
              <w:widowControl/>
              <w:jc w:val="left"/>
              <w:rPr>
                <w:rFonts w:hint="eastAsia" w:ascii="宋体" w:hAnsi="宋体" w:eastAsia="宋体" w:cs="宋体"/>
                <w:color w:val="000000" w:themeColor="text1"/>
                <w:kern w:val="0"/>
                <w:sz w:val="24"/>
                <w:szCs w:val="24"/>
                <w14:textFill>
                  <w14:solidFill>
                    <w14:schemeClr w14:val="tx1"/>
                  </w14:solidFill>
                </w14:textFill>
              </w:rPr>
            </w:pPr>
          </w:p>
          <w:p>
            <w:pPr>
              <w:widowControl/>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细目</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午餐报价</w:t>
            </w:r>
          </w:p>
        </w:tc>
        <w:tc>
          <w:tcPr>
            <w:tcW w:w="3119" w:type="dxa"/>
            <w:gridSpan w:val="2"/>
            <w:tcBorders>
              <w:top w:val="single" w:color="auto" w:sz="4" w:space="0"/>
              <w:left w:val="nil"/>
              <w:bottom w:val="single" w:color="auto" w:sz="4" w:space="0"/>
              <w:right w:val="single" w:color="auto" w:sz="4" w:space="0"/>
            </w:tcBorders>
          </w:tcPr>
          <w:p>
            <w:pPr>
              <w:widowControl/>
              <w:spacing w:line="5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晚餐报价</w:t>
            </w:r>
          </w:p>
        </w:tc>
      </w:tr>
      <w:tr>
        <w:tblPrEx>
          <w:tblCellMar>
            <w:top w:w="0" w:type="dxa"/>
            <w:left w:w="108" w:type="dxa"/>
            <w:bottom w:w="0" w:type="dxa"/>
            <w:right w:w="108" w:type="dxa"/>
          </w:tblCellMar>
        </w:tblPrEx>
        <w:trPr>
          <w:trHeight w:val="342" w:hRule="atLeast"/>
        </w:trPr>
        <w:tc>
          <w:tcPr>
            <w:tcW w:w="2292" w:type="dxa"/>
            <w:gridSpan w:val="2"/>
            <w:vMerge w:val="continue"/>
            <w:tcBorders>
              <w:left w:val="single" w:color="auto" w:sz="4" w:space="0"/>
              <w:bottom w:val="single" w:color="auto" w:sz="4" w:space="0"/>
              <w:right w:val="single" w:color="auto" w:sz="4" w:space="0"/>
            </w:tcBorders>
            <w:shd w:val="clear" w:color="auto" w:fill="auto"/>
            <w:noWrap/>
          </w:tcPr>
          <w:p>
            <w:pPr>
              <w:widowControl/>
              <w:ind w:firstLine="29" w:firstLineChars="13"/>
              <w:rPr>
                <w:rFonts w:hint="eastAsia" w:ascii="宋体" w:hAnsi="宋体" w:eastAsia="宋体" w:cs="宋体"/>
                <w:color w:val="000000" w:themeColor="text1"/>
                <w:kern w:val="0"/>
                <w:sz w:val="24"/>
                <w:szCs w:val="24"/>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shd w:val="clear" w:color="auto" w:fill="auto"/>
            <w:noWrap/>
          </w:tcPr>
          <w:p>
            <w:pPr>
              <w:widowControl/>
              <w:spacing w:line="280" w:lineRule="exact"/>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w:t>
            </w:r>
          </w:p>
        </w:tc>
        <w:tc>
          <w:tcPr>
            <w:tcW w:w="1843" w:type="dxa"/>
            <w:tcBorders>
              <w:top w:val="single" w:color="auto" w:sz="4" w:space="0"/>
              <w:left w:val="nil"/>
              <w:bottom w:val="single" w:color="auto" w:sz="4" w:space="0"/>
              <w:right w:val="single" w:color="auto" w:sz="4" w:space="0"/>
            </w:tcBorders>
            <w:shd w:val="clear" w:color="auto" w:fill="auto"/>
            <w:noWrap/>
          </w:tcPr>
          <w:p>
            <w:pPr>
              <w:widowControl/>
              <w:spacing w:line="280" w:lineRule="exact"/>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比率</w:t>
            </w:r>
          </w:p>
        </w:tc>
        <w:tc>
          <w:tcPr>
            <w:tcW w:w="1559" w:type="dxa"/>
            <w:tcBorders>
              <w:top w:val="single" w:color="auto" w:sz="4" w:space="0"/>
              <w:left w:val="nil"/>
              <w:bottom w:val="single" w:color="auto" w:sz="4" w:space="0"/>
              <w:right w:val="single" w:color="auto" w:sz="4" w:space="0"/>
            </w:tcBorders>
          </w:tcPr>
          <w:p>
            <w:pPr>
              <w:widowControl/>
              <w:spacing w:line="280" w:lineRule="exact"/>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w:t>
            </w:r>
          </w:p>
        </w:tc>
        <w:tc>
          <w:tcPr>
            <w:tcW w:w="1560" w:type="dxa"/>
            <w:tcBorders>
              <w:top w:val="single" w:color="auto" w:sz="4" w:space="0"/>
              <w:left w:val="nil"/>
              <w:bottom w:val="single" w:color="auto" w:sz="4" w:space="0"/>
              <w:right w:val="single" w:color="auto" w:sz="4" w:space="0"/>
            </w:tcBorders>
          </w:tcPr>
          <w:p>
            <w:pPr>
              <w:widowControl/>
              <w:spacing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比率</w:t>
            </w:r>
          </w:p>
        </w:tc>
      </w:tr>
      <w:tr>
        <w:tblPrEx>
          <w:tblCellMar>
            <w:top w:w="0" w:type="dxa"/>
            <w:left w:w="108" w:type="dxa"/>
            <w:bottom w:w="0" w:type="dxa"/>
            <w:right w:w="108" w:type="dxa"/>
          </w:tblCellMar>
        </w:tblPrEx>
        <w:trPr>
          <w:trHeight w:val="309" w:hRule="atLeast"/>
        </w:trPr>
        <w:tc>
          <w:tcPr>
            <w:tcW w:w="22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食材成本</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00" w:lineRule="exact"/>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p>
        </w:tc>
        <w:tc>
          <w:tcPr>
            <w:tcW w:w="1843" w:type="dxa"/>
            <w:tcBorders>
              <w:top w:val="nil"/>
              <w:left w:val="nil"/>
              <w:bottom w:val="single" w:color="auto" w:sz="4" w:space="0"/>
              <w:right w:val="single" w:color="auto" w:sz="4" w:space="0"/>
            </w:tcBorders>
            <w:shd w:val="clear" w:color="auto" w:fill="auto"/>
            <w:noWrap/>
            <w:vAlign w:val="bottom"/>
          </w:tcPr>
          <w:p>
            <w:pPr>
              <w:widowControl/>
              <w:spacing w:line="320" w:lineRule="exact"/>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1559" w:type="dxa"/>
            <w:tcBorders>
              <w:top w:val="nil"/>
              <w:left w:val="nil"/>
              <w:bottom w:val="single" w:color="auto" w:sz="4" w:space="0"/>
              <w:right w:val="single" w:color="auto" w:sz="4" w:space="0"/>
            </w:tcBorders>
          </w:tcPr>
          <w:p>
            <w:pPr>
              <w:widowControl/>
              <w:spacing w:line="500" w:lineRule="exact"/>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p>
        </w:tc>
        <w:tc>
          <w:tcPr>
            <w:tcW w:w="1560" w:type="dxa"/>
            <w:tcBorders>
              <w:top w:val="nil"/>
              <w:left w:val="nil"/>
              <w:bottom w:val="single" w:color="auto" w:sz="4" w:space="0"/>
              <w:right w:val="single" w:color="auto" w:sz="4" w:space="0"/>
            </w:tcBorders>
          </w:tcPr>
          <w:p>
            <w:pPr>
              <w:widowControl/>
              <w:spacing w:line="5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CellMar>
            <w:top w:w="0" w:type="dxa"/>
            <w:left w:w="108" w:type="dxa"/>
            <w:bottom w:w="0" w:type="dxa"/>
            <w:right w:w="108" w:type="dxa"/>
          </w:tblCellMar>
        </w:tblPrEx>
        <w:trPr>
          <w:trHeight w:val="309" w:hRule="atLeast"/>
        </w:trPr>
        <w:tc>
          <w:tcPr>
            <w:tcW w:w="229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管理费（含员工工资、奖金、福利、保洁用品、配餐包装、制服费、保险、税金、利润）</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00" w:lineRule="exact"/>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p>
        </w:tc>
        <w:tc>
          <w:tcPr>
            <w:tcW w:w="1843" w:type="dxa"/>
            <w:tcBorders>
              <w:top w:val="nil"/>
              <w:left w:val="nil"/>
              <w:bottom w:val="single" w:color="auto" w:sz="4" w:space="0"/>
              <w:right w:val="single" w:color="auto" w:sz="4" w:space="0"/>
            </w:tcBorders>
            <w:shd w:val="clear" w:color="auto" w:fill="auto"/>
            <w:noWrap/>
            <w:vAlign w:val="bottom"/>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1559" w:type="dxa"/>
            <w:tcBorders>
              <w:top w:val="nil"/>
              <w:left w:val="nil"/>
              <w:bottom w:val="single" w:color="auto" w:sz="4" w:space="0"/>
              <w:right w:val="single" w:color="auto" w:sz="4" w:space="0"/>
            </w:tcBorders>
          </w:tcPr>
          <w:p>
            <w:pPr>
              <w:widowControl/>
              <w:spacing w:line="500" w:lineRule="exact"/>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p>
        </w:tc>
        <w:tc>
          <w:tcPr>
            <w:tcW w:w="1560" w:type="dxa"/>
            <w:tcBorders>
              <w:top w:val="nil"/>
              <w:left w:val="nil"/>
              <w:bottom w:val="single" w:color="auto" w:sz="4" w:space="0"/>
              <w:right w:val="single" w:color="auto" w:sz="4" w:space="0"/>
            </w:tcBorders>
          </w:tcPr>
          <w:p>
            <w:pPr>
              <w:widowControl/>
              <w:spacing w:line="500" w:lineRule="exact"/>
              <w:jc w:val="center"/>
              <w:rPr>
                <w:rFonts w:hint="eastAsia" w:ascii="宋体" w:hAnsi="宋体" w:eastAsia="宋体" w:cs="宋体"/>
                <w:color w:val="000000" w:themeColor="text1"/>
                <w:kern w:val="0"/>
                <w:sz w:val="24"/>
                <w:szCs w:val="24"/>
                <w14:textFill>
                  <w14:solidFill>
                    <w14:schemeClr w14:val="tx1"/>
                  </w14:solidFill>
                </w14:textFill>
              </w:rPr>
            </w:pPr>
          </w:p>
          <w:p>
            <w:pPr>
              <w:widowControl/>
              <w:spacing w:line="5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CellMar>
            <w:top w:w="0" w:type="dxa"/>
            <w:left w:w="108" w:type="dxa"/>
            <w:bottom w:w="0" w:type="dxa"/>
            <w:right w:w="108" w:type="dxa"/>
          </w:tblCellMar>
        </w:tblPrEx>
        <w:trPr>
          <w:trHeight w:val="799" w:hRule="atLeast"/>
        </w:trPr>
        <w:tc>
          <w:tcPr>
            <w:tcW w:w="8813" w:type="dxa"/>
            <w:gridSpan w:val="6"/>
            <w:tcBorders>
              <w:top w:val="nil"/>
              <w:left w:val="nil"/>
              <w:bottom w:val="nil"/>
              <w:right w:val="nil"/>
            </w:tcBorders>
            <w:shd w:val="clear" w:color="auto" w:fill="auto"/>
            <w:noWrap/>
            <w:vAlign w:val="center"/>
          </w:tcPr>
          <w:p>
            <w:pPr>
              <w:widowControl/>
              <w:spacing w:line="600" w:lineRule="exact"/>
              <w:ind w:firstLine="332" w:firstLineChars="150"/>
              <w:rPr>
                <w:rFonts w:hint="eastAsia" w:ascii="宋体" w:hAnsi="宋体" w:eastAsia="宋体" w:cs="宋体"/>
                <w:bCs/>
                <w:color w:val="000000" w:themeColor="text1"/>
                <w:kern w:val="0"/>
                <w:sz w:val="24"/>
                <w:szCs w:val="24"/>
                <w14:textFill>
                  <w14:solidFill>
                    <w14:schemeClr w14:val="tx1"/>
                  </w14:solidFill>
                </w14:textFill>
              </w:rPr>
            </w:pPr>
          </w:p>
          <w:p>
            <w:pPr>
              <w:widowControl/>
              <w:spacing w:line="600" w:lineRule="exact"/>
              <w:ind w:firstLine="332" w:firstLineChars="15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3.2周末加班餐</w:t>
            </w:r>
          </w:p>
        </w:tc>
      </w:tr>
      <w:tr>
        <w:tblPrEx>
          <w:tblCellMar>
            <w:top w:w="0" w:type="dxa"/>
            <w:left w:w="108" w:type="dxa"/>
            <w:bottom w:w="0" w:type="dxa"/>
            <w:right w:w="108" w:type="dxa"/>
          </w:tblCellMar>
        </w:tblPrEx>
        <w:trPr>
          <w:trHeight w:val="656" w:hRule="atLeast"/>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周末加班午餐</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就餐人数</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配餐方式</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餐标（元/份）</w:t>
            </w:r>
          </w:p>
        </w:tc>
        <w:tc>
          <w:tcPr>
            <w:tcW w:w="31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报价（元/份，含税）</w:t>
            </w:r>
          </w:p>
        </w:tc>
      </w:tr>
      <w:tr>
        <w:tblPrEx>
          <w:tblCellMar>
            <w:top w:w="0" w:type="dxa"/>
            <w:left w:w="108" w:type="dxa"/>
            <w:bottom w:w="0" w:type="dxa"/>
            <w:right w:w="108" w:type="dxa"/>
          </w:tblCellMar>
        </w:tblPrEx>
        <w:trPr>
          <w:trHeight w:val="699" w:hRule="atLeast"/>
        </w:trPr>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01-50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可订外卖</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15元/份</w:t>
            </w:r>
          </w:p>
        </w:tc>
        <w:tc>
          <w:tcPr>
            <w:tcW w:w="3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771" w:hRule="atLeast"/>
        </w:trPr>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51-100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食堂配置内部盒饭</w:t>
            </w:r>
          </w:p>
        </w:tc>
        <w:tc>
          <w:tcPr>
            <w:tcW w:w="49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按周一至周五午餐结算</w:t>
            </w:r>
          </w:p>
        </w:tc>
      </w:tr>
      <w:tr>
        <w:tblPrEx>
          <w:tblCellMar>
            <w:top w:w="0" w:type="dxa"/>
            <w:left w:w="108" w:type="dxa"/>
            <w:bottom w:w="0" w:type="dxa"/>
            <w:right w:w="108" w:type="dxa"/>
          </w:tblCellMar>
        </w:tblPrEx>
        <w:trPr>
          <w:trHeight w:val="706" w:hRule="atLeast"/>
        </w:trPr>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100人以上</w:t>
            </w:r>
          </w:p>
        </w:tc>
        <w:tc>
          <w:tcPr>
            <w:tcW w:w="652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食堂正常开午餐</w:t>
            </w:r>
          </w:p>
        </w:tc>
      </w:tr>
    </w:tbl>
    <w:p>
      <w:pPr>
        <w:widowControl/>
        <w:spacing w:line="600" w:lineRule="exact"/>
        <w:ind w:firstLine="332" w:firstLineChars="15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4.配餐服务质量要求</w:t>
      </w:r>
    </w:p>
    <w:p>
      <w:pPr>
        <w:widowControl/>
        <w:spacing w:line="600" w:lineRule="exact"/>
        <w:ind w:firstLine="424" w:firstLineChars="192"/>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4.1投标单位应当严格执行食品行业相关配餐服务质量标准，并按招标单位要求采购限定品牌的米面油、肉类、水产品和蔬菜等食材。其中，肉类、海鲜类提供相关检疫合格证明备查。</w:t>
      </w:r>
    </w:p>
    <w:p>
      <w:pPr>
        <w:widowControl/>
        <w:spacing w:line="600" w:lineRule="exact"/>
        <w:ind w:firstLine="424" w:firstLineChars="192"/>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4.2投标单位的工作质量应达到招标单位要求的标准：食材新鲜、卫生干净、无隔夜餐、保证不投入不洁净菜品，杜绝发生食物中毒事件。</w:t>
      </w:r>
    </w:p>
    <w:p>
      <w:pPr>
        <w:widowControl/>
        <w:spacing w:line="600" w:lineRule="exact"/>
        <w:ind w:firstLine="424" w:firstLineChars="192"/>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4.3投标单位应严格执行招标单位对洗菜流程、餐具清洗流程要求执行。</w:t>
      </w:r>
    </w:p>
    <w:p>
      <w:pPr>
        <w:widowControl/>
        <w:spacing w:line="600" w:lineRule="exact"/>
        <w:ind w:firstLine="424" w:firstLineChars="192"/>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4.4对于投标单位违反上述约定的行为，招标单位有权以口头、书面等形式要求整改，并根据具体情况扣减配餐服务费。</w:t>
      </w:r>
    </w:p>
    <w:tbl>
      <w:tblPr>
        <w:tblStyle w:val="25"/>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606"/>
        <w:gridCol w:w="534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279"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 号</w:t>
            </w:r>
          </w:p>
        </w:tc>
        <w:tc>
          <w:tcPr>
            <w:tcW w:w="1606"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食材类别</w:t>
            </w:r>
          </w:p>
        </w:tc>
        <w:tc>
          <w:tcPr>
            <w:tcW w:w="5341"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品 牌</w:t>
            </w:r>
          </w:p>
        </w:tc>
        <w:tc>
          <w:tcPr>
            <w:tcW w:w="1173" w:type="dxa"/>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9"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606"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猪肉</w:t>
            </w:r>
          </w:p>
        </w:tc>
        <w:tc>
          <w:tcPr>
            <w:tcW w:w="5341"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金锣、龙大、雨润或同等质量水平品牌</w:t>
            </w:r>
          </w:p>
        </w:tc>
        <w:tc>
          <w:tcPr>
            <w:tcW w:w="1173" w:type="dxa"/>
            <w:vMerge w:val="restart"/>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如果更换品牌，须经甲方同意，另行书面确定。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9"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606"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鸡肉</w:t>
            </w:r>
          </w:p>
        </w:tc>
        <w:tc>
          <w:tcPr>
            <w:tcW w:w="5341"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金锣、龙大、六和或同等质量水平品牌</w:t>
            </w:r>
          </w:p>
        </w:tc>
        <w:tc>
          <w:tcPr>
            <w:tcW w:w="1173" w:type="dxa"/>
            <w:vMerge w:val="continue"/>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9"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606"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油</w:t>
            </w:r>
          </w:p>
        </w:tc>
        <w:tc>
          <w:tcPr>
            <w:tcW w:w="5341"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口福（非转基因）或同等质量水平品牌</w:t>
            </w:r>
          </w:p>
        </w:tc>
        <w:tc>
          <w:tcPr>
            <w:tcW w:w="1173" w:type="dxa"/>
            <w:vMerge w:val="continue"/>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9"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606"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米</w:t>
            </w:r>
          </w:p>
        </w:tc>
        <w:tc>
          <w:tcPr>
            <w:tcW w:w="5341"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东北珍珠大米、黄河大米或同等质量水平品牌</w:t>
            </w:r>
          </w:p>
        </w:tc>
        <w:tc>
          <w:tcPr>
            <w:tcW w:w="1173" w:type="dxa"/>
            <w:vMerge w:val="continue"/>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9"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606"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面</w:t>
            </w:r>
          </w:p>
        </w:tc>
        <w:tc>
          <w:tcPr>
            <w:tcW w:w="5341"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五得利、丰之润、特一粉或同等质量水平品牌</w:t>
            </w:r>
          </w:p>
        </w:tc>
        <w:tc>
          <w:tcPr>
            <w:tcW w:w="1173" w:type="dxa"/>
            <w:vMerge w:val="continue"/>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79"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1606"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酱油/醋</w:t>
            </w:r>
          </w:p>
        </w:tc>
        <w:tc>
          <w:tcPr>
            <w:tcW w:w="5341" w:type="dxa"/>
            <w:vAlign w:val="center"/>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德兴斋、海天或同等质量水平品牌</w:t>
            </w:r>
          </w:p>
        </w:tc>
        <w:tc>
          <w:tcPr>
            <w:tcW w:w="1173" w:type="dxa"/>
            <w:vMerge w:val="continue"/>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p>
        </w:tc>
      </w:tr>
    </w:tbl>
    <w:p>
      <w:pPr>
        <w:widowControl/>
        <w:spacing w:line="600" w:lineRule="exact"/>
        <w:ind w:firstLine="332"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4.5 投标单位对中标方执行定期考核制度，包含试用期考核与日常考核。</w:t>
      </w:r>
    </w:p>
    <w:p>
      <w:pPr>
        <w:widowControl/>
        <w:spacing w:line="600" w:lineRule="exact"/>
        <w:ind w:firstLine="332"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4.5.1 试用期考核为中标方进驻后3-4月内进行的考核，目的是确认中标方能够满足投标单位的基本要求，考核内容包含员工满意度、食堂日常管理、日常考核结果等；考核结果为合格的，中标方继续执行合同；考核结果为不合格的，中标方需在限定的时间内完成不合格项目整改，限期未完成的，投标单位有权无责任解除合同。</w:t>
      </w:r>
    </w:p>
    <w:p>
      <w:pPr>
        <w:widowControl/>
        <w:spacing w:line="600" w:lineRule="exact"/>
        <w:ind w:firstLine="332"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4.5.2 日常考核是为提升中标方对员工食堂的管理质量和服务质量进行的日常监督考核，考核内容包括食材质量、食堂卫生、人员资质、食材进销原始单据、设备日常维护点检等内容；日常考核结果可用于中标方试用期考核，也可作为续签下年合同的参考；对于日常考核发现的问题，中标方应在限定期限内完成整改并将结果书面告知招标单位，逾期未完成的，招标单位可采取包括解除合同在内的进一步措施；日常考核包括且不限于以下内容。</w:t>
      </w:r>
    </w:p>
    <w:p>
      <w:pPr>
        <w:widowControl/>
        <w:spacing w:line="600" w:lineRule="exact"/>
        <w:rPr>
          <w:rFonts w:hint="eastAsia" w:ascii="宋体" w:hAnsi="宋体" w:eastAsia="宋体" w:cs="宋体"/>
          <w:b/>
          <w:color w:val="000000" w:themeColor="text1"/>
          <w:kern w:val="0"/>
          <w:sz w:val="24"/>
          <w:szCs w:val="24"/>
          <w14:textFill>
            <w14:solidFill>
              <w14:schemeClr w14:val="tx1"/>
            </w14:solidFill>
          </w14:textFill>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260"/>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3260" w:type="dxa"/>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日常考核问题描述</w:t>
            </w:r>
          </w:p>
        </w:tc>
        <w:tc>
          <w:tcPr>
            <w:tcW w:w="4332" w:type="dxa"/>
          </w:tcPr>
          <w:p>
            <w:pPr>
              <w:widowControl/>
              <w:spacing w:line="6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处罚说明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3260" w:type="dxa"/>
          </w:tcPr>
          <w:p>
            <w:pPr>
              <w:widowControl/>
              <w:spacing w:line="6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使用与投标品牌不符的原材料</w:t>
            </w:r>
          </w:p>
        </w:tc>
        <w:tc>
          <w:tcPr>
            <w:tcW w:w="4332" w:type="dxa"/>
          </w:tcPr>
          <w:p>
            <w:pPr>
              <w:widowControl/>
              <w:spacing w:line="6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每次罚款1000元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3260" w:type="dxa"/>
          </w:tcPr>
          <w:p>
            <w:pPr>
              <w:widowControl/>
              <w:spacing w:line="6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食品未留样或留样不规范</w:t>
            </w:r>
          </w:p>
        </w:tc>
        <w:tc>
          <w:tcPr>
            <w:tcW w:w="4332" w:type="dxa"/>
          </w:tcPr>
          <w:p>
            <w:pPr>
              <w:widowControl/>
              <w:spacing w:line="6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每次罚款1000元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3260" w:type="dxa"/>
          </w:tcPr>
          <w:p>
            <w:pPr>
              <w:widowControl/>
              <w:spacing w:line="6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使用超过保质期的食材</w:t>
            </w:r>
          </w:p>
        </w:tc>
        <w:tc>
          <w:tcPr>
            <w:tcW w:w="4332" w:type="dxa"/>
            <w:vMerge w:val="restart"/>
          </w:tcPr>
          <w:p>
            <w:pPr>
              <w:spacing w:line="6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季度内首次发现警告，二次罚款500元，之后每次发现罚款较上次增加100%额度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3260" w:type="dxa"/>
          </w:tcPr>
          <w:p>
            <w:pPr>
              <w:widowControl/>
              <w:spacing w:line="6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人员健康证超期</w:t>
            </w:r>
          </w:p>
        </w:tc>
        <w:tc>
          <w:tcPr>
            <w:tcW w:w="4332" w:type="dxa"/>
            <w:vMerge w:val="continue"/>
          </w:tcPr>
          <w:p>
            <w:pPr>
              <w:spacing w:line="600" w:lineRule="exact"/>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3260" w:type="dxa"/>
          </w:tcPr>
          <w:p>
            <w:pPr>
              <w:widowControl/>
              <w:spacing w:line="6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食材质量不合格（腐败变质）</w:t>
            </w:r>
          </w:p>
        </w:tc>
        <w:tc>
          <w:tcPr>
            <w:tcW w:w="4332" w:type="dxa"/>
            <w:vMerge w:val="continue"/>
          </w:tcPr>
          <w:p>
            <w:pPr>
              <w:widowControl/>
              <w:spacing w:line="600" w:lineRule="exact"/>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3260" w:type="dxa"/>
          </w:tcPr>
          <w:p>
            <w:pPr>
              <w:widowControl/>
              <w:spacing w:line="6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日常检查不合格</w:t>
            </w:r>
          </w:p>
        </w:tc>
        <w:tc>
          <w:tcPr>
            <w:tcW w:w="4332" w:type="dxa"/>
          </w:tcPr>
          <w:p>
            <w:pPr>
              <w:widowControl/>
              <w:spacing w:line="6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每次罚款100元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spacing w:line="6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3260" w:type="dxa"/>
          </w:tcPr>
          <w:p>
            <w:pPr>
              <w:widowControl/>
              <w:spacing w:line="6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食物中出现异物</w:t>
            </w:r>
          </w:p>
        </w:tc>
        <w:tc>
          <w:tcPr>
            <w:tcW w:w="4332" w:type="dxa"/>
          </w:tcPr>
          <w:p>
            <w:pPr>
              <w:widowControl/>
              <w:spacing w:line="6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每月前2次警告，之后每次罚款500元</w:t>
            </w:r>
          </w:p>
        </w:tc>
      </w:tr>
    </w:tbl>
    <w:p>
      <w:pPr>
        <w:widowControl/>
        <w:spacing w:line="600" w:lineRule="exact"/>
        <w:ind w:firstLine="332"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4.6 合同解除</w:t>
      </w:r>
    </w:p>
    <w:p>
      <w:pPr>
        <w:widowControl/>
        <w:spacing w:line="600" w:lineRule="exact"/>
        <w:ind w:firstLine="332"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4.6.1  食堂运营过程中发生下列情况时，合同自行解除：</w:t>
      </w:r>
    </w:p>
    <w:p>
      <w:pPr>
        <w:widowControl/>
        <w:spacing w:line="600" w:lineRule="exact"/>
        <w:ind w:firstLine="332"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1）中标方因管理不善出现安全事故、食物中毒等重大责任事故；</w:t>
      </w:r>
    </w:p>
    <w:p>
      <w:pPr>
        <w:widowControl/>
        <w:spacing w:line="600" w:lineRule="exact"/>
        <w:ind w:firstLine="332"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2）中标方企业及人员必需的资质文件被吊销；</w:t>
      </w:r>
    </w:p>
    <w:p>
      <w:pPr>
        <w:widowControl/>
        <w:spacing w:line="600" w:lineRule="exact"/>
        <w:ind w:firstLine="332"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3）中标方无视招标单位合理的要求，经招标单位提醒仍无明显改善的。</w:t>
      </w:r>
    </w:p>
    <w:p>
      <w:pPr>
        <w:widowControl/>
        <w:spacing w:line="600" w:lineRule="exact"/>
        <w:ind w:firstLine="332"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4）投标单位与中标方协商达成解除合同的协议；</w:t>
      </w:r>
    </w:p>
    <w:p>
      <w:pPr>
        <w:widowControl/>
        <w:spacing w:line="600" w:lineRule="exact"/>
        <w:ind w:firstLine="332"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5）因不可抗力合同不具备履行条件的。</w:t>
      </w:r>
    </w:p>
    <w:p>
      <w:pPr>
        <w:tabs>
          <w:tab w:val="left" w:pos="360"/>
          <w:tab w:val="left" w:pos="540"/>
        </w:tabs>
        <w:spacing w:line="360" w:lineRule="auto"/>
        <w:jc w:val="left"/>
        <w:outlineLvl w:val="3"/>
        <w:rPr>
          <w:rStyle w:val="37"/>
          <w:rFonts w:hint="eastAsia" w:ascii="宋体" w:hAnsi="宋体" w:eastAsia="宋体" w:cs="宋体"/>
          <w:b w:val="0"/>
          <w:bCs w:val="0"/>
        </w:rPr>
      </w:pPr>
      <w:r>
        <w:rPr>
          <w:rFonts w:hint="eastAsia" w:ascii="宋体" w:hAnsi="宋体" w:eastAsia="宋体" w:cs="宋体"/>
          <w:color w:val="000000" w:themeColor="text1"/>
          <w:kern w:val="0"/>
          <w:sz w:val="24"/>
          <w:szCs w:val="24"/>
          <w14:textFill>
            <w14:solidFill>
              <w14:schemeClr w14:val="tx1"/>
            </w14:solidFill>
          </w14:textFill>
        </w:rPr>
        <w:t>4.6.2 因中标方原因造成合同解除的，招标单位保留向中标方追究相关责任的权利；因不可抗力解除合同的，双方均不担责。</w:t>
      </w:r>
    </w:p>
    <w:p>
      <w:pPr>
        <w:tabs>
          <w:tab w:val="left" w:pos="360"/>
          <w:tab w:val="left" w:pos="540"/>
        </w:tabs>
        <w:spacing w:line="360" w:lineRule="auto"/>
        <w:jc w:val="center"/>
        <w:outlineLvl w:val="3"/>
        <w:rPr>
          <w:rStyle w:val="37"/>
          <w:rFonts w:hint="eastAsia" w:ascii="宋体" w:hAnsi="宋体" w:eastAsia="宋体" w:cs="宋体"/>
          <w:b w:val="0"/>
          <w:bCs w:val="0"/>
        </w:rPr>
      </w:pPr>
    </w:p>
    <w:p>
      <w:pPr>
        <w:tabs>
          <w:tab w:val="left" w:pos="360"/>
          <w:tab w:val="left" w:pos="540"/>
        </w:tabs>
        <w:spacing w:line="360" w:lineRule="auto"/>
        <w:jc w:val="center"/>
        <w:outlineLvl w:val="3"/>
        <w:rPr>
          <w:rStyle w:val="37"/>
          <w:rFonts w:hint="eastAsia" w:ascii="宋体" w:hAnsi="宋体" w:eastAsia="宋体" w:cs="宋体"/>
          <w:b w:val="0"/>
          <w:bCs w:val="0"/>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bCs/>
        </w:rPr>
      </w:pPr>
      <w:r>
        <w:rPr>
          <w:rStyle w:val="37"/>
          <w:rFonts w:hint="eastAsia" w:ascii="宋体" w:hAnsi="宋体" w:eastAsia="宋体" w:cs="宋体"/>
          <w:b w:val="0"/>
          <w:bCs w:val="0"/>
        </w:rPr>
        <w:t>第四部分  合同条款</w:t>
      </w:r>
      <w:bookmarkEnd w:id="502"/>
    </w:p>
    <w:p>
      <w:pPr>
        <w:jc w:val="center"/>
        <w:rPr>
          <w:rFonts w:hint="eastAsia" w:ascii="宋体" w:hAnsi="宋体" w:eastAsia="宋体" w:cs="宋体"/>
          <w:color w:val="auto"/>
          <w:sz w:val="24"/>
          <w:szCs w:val="32"/>
        </w:rPr>
      </w:pPr>
      <w:r>
        <w:rPr>
          <w:rFonts w:hint="eastAsia" w:ascii="宋体" w:hAnsi="宋体" w:eastAsia="宋体" w:cs="宋体"/>
          <w:color w:val="auto"/>
          <w:sz w:val="24"/>
          <w:szCs w:val="32"/>
        </w:rPr>
        <w:t>（以招标人审核通过的合同为准）</w:t>
      </w:r>
    </w:p>
    <w:p>
      <w:pPr>
        <w:pStyle w:val="9"/>
        <w:rPr>
          <w:rFonts w:hint="eastAsia" w:ascii="宋体" w:hAnsi="宋体" w:eastAsia="宋体" w:cs="宋体"/>
          <w:sz w:val="24"/>
          <w:szCs w:val="32"/>
        </w:rPr>
      </w:pPr>
    </w:p>
    <w:p>
      <w:pPr>
        <w:rPr>
          <w:rFonts w:hint="eastAsia" w:ascii="宋体" w:hAnsi="宋体" w:eastAsia="宋体" w:cs="宋体"/>
        </w:rPr>
      </w:pPr>
      <w:bookmarkStart w:id="510" w:name="_Toc14684"/>
      <w:bookmarkEnd w:id="510"/>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tabs>
          <w:tab w:val="left" w:pos="360"/>
          <w:tab w:val="left" w:pos="540"/>
        </w:tabs>
        <w:spacing w:line="360" w:lineRule="auto"/>
        <w:jc w:val="center"/>
        <w:outlineLvl w:val="3"/>
        <w:rPr>
          <w:rStyle w:val="37"/>
          <w:rFonts w:hint="eastAsia" w:ascii="宋体" w:hAnsi="宋体" w:eastAsia="宋体" w:cs="宋体"/>
          <w:b w:val="0"/>
          <w:bCs w:val="0"/>
        </w:rPr>
      </w:pPr>
      <w:bookmarkStart w:id="511" w:name="_Toc11512"/>
    </w:p>
    <w:p>
      <w:pPr>
        <w:tabs>
          <w:tab w:val="left" w:pos="360"/>
          <w:tab w:val="left" w:pos="540"/>
        </w:tabs>
        <w:spacing w:line="360" w:lineRule="auto"/>
        <w:jc w:val="center"/>
        <w:outlineLvl w:val="3"/>
        <w:rPr>
          <w:rStyle w:val="37"/>
          <w:rFonts w:hint="eastAsia" w:ascii="宋体" w:hAnsi="宋体" w:eastAsia="宋体" w:cs="宋体"/>
          <w:b w:val="0"/>
          <w:bCs w:val="0"/>
        </w:rPr>
      </w:pPr>
    </w:p>
    <w:p>
      <w:pPr>
        <w:rPr>
          <w:rStyle w:val="37"/>
          <w:rFonts w:hint="eastAsia" w:ascii="宋体" w:hAnsi="宋体" w:eastAsia="宋体" w:cs="宋体"/>
          <w:b w:val="0"/>
          <w:bCs w:val="0"/>
        </w:rPr>
      </w:pPr>
      <w:r>
        <w:rPr>
          <w:rStyle w:val="37"/>
          <w:rFonts w:hint="eastAsia" w:ascii="宋体" w:hAnsi="宋体" w:eastAsia="宋体" w:cs="宋体"/>
          <w:b w:val="0"/>
          <w:bCs w:val="0"/>
        </w:rPr>
        <w:br w:type="page"/>
      </w:r>
    </w:p>
    <w:p>
      <w:pPr>
        <w:tabs>
          <w:tab w:val="left" w:pos="360"/>
          <w:tab w:val="left" w:pos="540"/>
        </w:tabs>
        <w:spacing w:line="360" w:lineRule="auto"/>
        <w:jc w:val="center"/>
        <w:outlineLvl w:val="3"/>
        <w:rPr>
          <w:rStyle w:val="37"/>
          <w:rFonts w:hint="eastAsia" w:ascii="宋体" w:hAnsi="宋体" w:eastAsia="宋体" w:cs="宋体"/>
          <w:b w:val="0"/>
          <w:bCs w:val="0"/>
        </w:rPr>
      </w:pPr>
      <w:r>
        <w:rPr>
          <w:rStyle w:val="37"/>
          <w:rFonts w:hint="eastAsia" w:ascii="宋体" w:hAnsi="宋体" w:eastAsia="宋体" w:cs="宋体"/>
          <w:b w:val="0"/>
          <w:bCs w:val="0"/>
        </w:rPr>
        <w:t>第五部分  附   件</w:t>
      </w:r>
      <w:bookmarkEnd w:id="503"/>
    </w:p>
    <w:bookmarkEnd w:id="511"/>
    <w:p>
      <w:pPr>
        <w:pStyle w:val="15"/>
        <w:spacing w:line="360" w:lineRule="auto"/>
        <w:ind w:firstLine="0" w:firstLineChars="0"/>
        <w:jc w:val="left"/>
        <w:rPr>
          <w:rFonts w:hint="eastAsia" w:ascii="宋体" w:hAnsi="宋体" w:eastAsia="宋体" w:cs="宋体"/>
          <w:bCs/>
        </w:rPr>
      </w:pPr>
      <w:r>
        <w:rPr>
          <w:rFonts w:hint="eastAsia" w:ascii="宋体" w:hAnsi="宋体" w:eastAsia="宋体" w:cs="宋体"/>
          <w:bCs/>
        </w:rPr>
        <w:t xml:space="preserve">附件一： </w:t>
      </w:r>
    </w:p>
    <w:p>
      <w:pPr>
        <w:pStyle w:val="15"/>
        <w:spacing w:line="360" w:lineRule="auto"/>
        <w:ind w:firstLine="3880" w:firstLineChars="1289"/>
        <w:rPr>
          <w:rFonts w:hint="eastAsia" w:ascii="宋体" w:hAnsi="宋体" w:eastAsia="宋体" w:cs="宋体"/>
          <w:bCs/>
          <w:sz w:val="32"/>
          <w:szCs w:val="32"/>
        </w:rPr>
      </w:pPr>
      <w:r>
        <w:rPr>
          <w:rFonts w:hint="eastAsia" w:ascii="宋体" w:hAnsi="宋体" w:eastAsia="宋体" w:cs="宋体"/>
          <w:bCs/>
          <w:sz w:val="32"/>
          <w:szCs w:val="32"/>
        </w:rPr>
        <w:t>报   价   函</w:t>
      </w:r>
    </w:p>
    <w:p>
      <w:pPr>
        <w:pStyle w:val="15"/>
        <w:spacing w:line="360" w:lineRule="auto"/>
        <w:ind w:firstLine="0" w:firstLineChars="0"/>
        <w:jc w:val="left"/>
        <w:rPr>
          <w:rFonts w:hint="eastAsia" w:ascii="宋体" w:hAnsi="宋体" w:eastAsia="宋体" w:cs="宋体"/>
          <w:bCs/>
          <w:color w:val="FF0000"/>
        </w:rPr>
      </w:pPr>
      <w:r>
        <w:rPr>
          <w:rFonts w:hint="eastAsia" w:ascii="宋体" w:hAnsi="宋体" w:eastAsia="宋体" w:cs="宋体"/>
          <w:bCs/>
          <w:u w:val="single"/>
        </w:rPr>
        <w:t>济南轻骑标致摩托车有限公司</w:t>
      </w:r>
      <w:r>
        <w:rPr>
          <w:rFonts w:hint="eastAsia" w:ascii="宋体" w:hAnsi="宋体" w:eastAsia="宋体" w:cs="宋体"/>
          <w:bCs/>
        </w:rPr>
        <w:t>：</w:t>
      </w:r>
    </w:p>
    <w:p>
      <w:pPr>
        <w:pStyle w:val="15"/>
        <w:spacing w:line="360" w:lineRule="auto"/>
        <w:jc w:val="left"/>
        <w:rPr>
          <w:rFonts w:hint="eastAsia" w:ascii="宋体" w:hAnsi="宋体" w:eastAsia="宋体" w:cs="宋体"/>
          <w:bCs/>
        </w:rPr>
      </w:pPr>
      <w:r>
        <w:rPr>
          <w:rFonts w:hint="eastAsia" w:ascii="宋体" w:hAnsi="宋体" w:eastAsia="宋体" w:cs="宋体"/>
          <w:bCs/>
        </w:rPr>
        <w:t>经研究，我们决定参加项目编号为</w:t>
      </w:r>
      <w:r>
        <w:rPr>
          <w:rFonts w:hint="eastAsia" w:ascii="宋体" w:hAnsi="宋体" w:eastAsia="宋体" w:cs="宋体"/>
          <w:bCs/>
          <w:u w:val="single"/>
        </w:rPr>
        <w:t xml:space="preserve">         </w:t>
      </w:r>
      <w:r>
        <w:rPr>
          <w:rFonts w:hint="eastAsia" w:ascii="宋体" w:hAnsi="宋体" w:eastAsia="宋体" w:cs="宋体"/>
          <w:bCs/>
        </w:rPr>
        <w:t>的</w:t>
      </w:r>
      <w:r>
        <w:rPr>
          <w:rFonts w:hint="eastAsia" w:ascii="宋体" w:hAnsi="宋体" w:eastAsia="宋体" w:cs="宋体"/>
          <w:bCs/>
          <w:u w:val="single"/>
          <w:lang w:eastAsia="zh-CN"/>
        </w:rPr>
        <w:t>济南轻骑标致摩托车有限公司职工食堂配餐服务招标项目</w:t>
      </w:r>
      <w:r>
        <w:rPr>
          <w:rFonts w:hint="eastAsia" w:ascii="宋体" w:hAnsi="宋体" w:eastAsia="宋体" w:cs="宋体"/>
          <w:bCs/>
          <w:u w:val="single"/>
        </w:rPr>
        <w:t>项目</w:t>
      </w:r>
      <w:r>
        <w:rPr>
          <w:rFonts w:hint="eastAsia" w:ascii="宋体" w:hAnsi="宋体" w:eastAsia="宋体" w:cs="宋体"/>
          <w:bCs/>
        </w:rPr>
        <w:t>的报价活动并提交投标文件。为此，我方郑重声明以下诸点，并负法律责任。</w:t>
      </w:r>
    </w:p>
    <w:p>
      <w:pPr>
        <w:pStyle w:val="15"/>
        <w:spacing w:line="360" w:lineRule="auto"/>
        <w:ind w:firstLine="0" w:firstLineChars="0"/>
        <w:jc w:val="left"/>
        <w:rPr>
          <w:rFonts w:hint="eastAsia" w:ascii="宋体" w:hAnsi="宋体" w:eastAsia="宋体" w:cs="宋体"/>
          <w:bCs/>
        </w:rPr>
      </w:pPr>
      <w:r>
        <w:rPr>
          <w:rFonts w:hint="eastAsia" w:ascii="宋体" w:hAnsi="宋体" w:eastAsia="宋体" w:cs="宋体"/>
          <w:bCs/>
        </w:rPr>
        <w:t>1、我方提交的投标文件，正本一份，副本肆份。</w:t>
      </w:r>
    </w:p>
    <w:p>
      <w:pPr>
        <w:pStyle w:val="15"/>
        <w:spacing w:line="360" w:lineRule="auto"/>
        <w:ind w:firstLine="0" w:firstLineChars="0"/>
        <w:jc w:val="left"/>
        <w:rPr>
          <w:rFonts w:hint="eastAsia" w:ascii="宋体" w:hAnsi="宋体" w:eastAsia="宋体" w:cs="宋体"/>
          <w:bCs/>
        </w:rPr>
      </w:pPr>
      <w:r>
        <w:rPr>
          <w:rFonts w:hint="eastAsia" w:ascii="宋体" w:hAnsi="宋体" w:eastAsia="宋体" w:cs="宋体"/>
          <w:bCs/>
        </w:rPr>
        <w:t>2、如果我们的投标文件被接受，我们将履行招标文件中规定的每一项要求，并按我们投标文件中的承诺按期、按质、按量提供货物。</w:t>
      </w:r>
    </w:p>
    <w:p>
      <w:pPr>
        <w:pStyle w:val="15"/>
        <w:spacing w:line="360" w:lineRule="auto"/>
        <w:ind w:firstLine="0" w:firstLineChars="0"/>
        <w:jc w:val="left"/>
        <w:rPr>
          <w:rFonts w:hint="eastAsia" w:ascii="宋体" w:hAnsi="宋体" w:eastAsia="宋体" w:cs="宋体"/>
          <w:bCs/>
        </w:rPr>
      </w:pPr>
      <w:r>
        <w:rPr>
          <w:rFonts w:hint="eastAsia" w:ascii="宋体" w:hAnsi="宋体" w:eastAsia="宋体" w:cs="宋体"/>
          <w:bCs/>
        </w:rPr>
        <w:t>3、我们理解，最低报价不是中标的唯一条件，你们有选择中标企业的权力。</w:t>
      </w:r>
    </w:p>
    <w:p>
      <w:pPr>
        <w:pStyle w:val="15"/>
        <w:spacing w:line="360" w:lineRule="auto"/>
        <w:ind w:firstLine="0" w:firstLineChars="0"/>
        <w:jc w:val="left"/>
        <w:rPr>
          <w:rFonts w:hint="eastAsia" w:ascii="宋体" w:hAnsi="宋体" w:eastAsia="宋体" w:cs="宋体"/>
          <w:bCs/>
        </w:rPr>
      </w:pPr>
      <w:r>
        <w:rPr>
          <w:rFonts w:hint="eastAsia" w:ascii="宋体" w:hAnsi="宋体" w:eastAsia="宋体" w:cs="宋体"/>
          <w:bCs/>
        </w:rPr>
        <w:t>4、我方愿按《中华人民共和国合民法典》履行自己的全部责任。</w:t>
      </w:r>
    </w:p>
    <w:p>
      <w:pPr>
        <w:pStyle w:val="15"/>
        <w:spacing w:line="360" w:lineRule="auto"/>
        <w:ind w:firstLine="0" w:firstLineChars="0"/>
        <w:jc w:val="left"/>
        <w:rPr>
          <w:rFonts w:hint="eastAsia" w:ascii="宋体" w:hAnsi="宋体" w:eastAsia="宋体" w:cs="宋体"/>
          <w:bCs/>
        </w:rPr>
      </w:pPr>
      <w:r>
        <w:rPr>
          <w:rFonts w:hint="eastAsia" w:ascii="宋体" w:hAnsi="宋体" w:eastAsia="宋体" w:cs="宋体"/>
          <w:bCs/>
        </w:rPr>
        <w:t>5、我们同意按招标文件规定遵守贵机构有关采购的各项规定。</w:t>
      </w:r>
    </w:p>
    <w:p>
      <w:pPr>
        <w:pStyle w:val="15"/>
        <w:spacing w:line="360" w:lineRule="auto"/>
        <w:ind w:firstLine="0" w:firstLineChars="0"/>
        <w:jc w:val="left"/>
        <w:rPr>
          <w:rFonts w:hint="eastAsia" w:ascii="宋体" w:hAnsi="宋体" w:eastAsia="宋体" w:cs="宋体"/>
          <w:bCs/>
        </w:rPr>
      </w:pPr>
      <w:r>
        <w:rPr>
          <w:rFonts w:hint="eastAsia" w:ascii="宋体" w:hAnsi="宋体" w:eastAsia="宋体" w:cs="宋体"/>
          <w:bCs/>
        </w:rPr>
        <w:t>6、我方若未成为中标企业，贵机构有权不做任何解释。</w:t>
      </w:r>
    </w:p>
    <w:p>
      <w:pPr>
        <w:pStyle w:val="15"/>
        <w:spacing w:line="360" w:lineRule="auto"/>
        <w:ind w:firstLine="0" w:firstLineChars="0"/>
        <w:jc w:val="left"/>
        <w:rPr>
          <w:rFonts w:hint="eastAsia" w:ascii="宋体" w:hAnsi="宋体" w:eastAsia="宋体" w:cs="宋体"/>
          <w:bCs/>
        </w:rPr>
      </w:pPr>
      <w:r>
        <w:rPr>
          <w:rFonts w:hint="eastAsia" w:ascii="宋体" w:hAnsi="宋体" w:eastAsia="宋体" w:cs="宋体"/>
          <w:bCs/>
        </w:rPr>
        <w:t>7、我方的投标文件自开标之日起有效期为   日。</w:t>
      </w:r>
    </w:p>
    <w:p>
      <w:pPr>
        <w:pStyle w:val="15"/>
        <w:spacing w:line="360" w:lineRule="auto"/>
        <w:ind w:firstLine="0" w:firstLineChars="0"/>
        <w:jc w:val="left"/>
        <w:rPr>
          <w:rFonts w:hint="eastAsia" w:ascii="宋体" w:hAnsi="宋体" w:eastAsia="宋体" w:cs="宋体"/>
          <w:bCs/>
        </w:rPr>
      </w:pPr>
      <w:r>
        <w:rPr>
          <w:rFonts w:hint="eastAsia" w:ascii="宋体" w:hAnsi="宋体" w:eastAsia="宋体" w:cs="宋体"/>
          <w:bCs/>
        </w:rPr>
        <w:t>8、与本报价有关的一切正式往来通讯请寄：</w:t>
      </w:r>
    </w:p>
    <w:p>
      <w:pPr>
        <w:pStyle w:val="15"/>
        <w:spacing w:line="360" w:lineRule="auto"/>
        <w:ind w:firstLine="0" w:firstLineChars="0"/>
        <w:jc w:val="left"/>
        <w:rPr>
          <w:rFonts w:hint="eastAsia" w:ascii="宋体" w:hAnsi="宋体" w:eastAsia="宋体" w:cs="宋体"/>
          <w:bCs/>
        </w:rPr>
      </w:pPr>
      <w:r>
        <w:rPr>
          <w:rFonts w:hint="eastAsia" w:ascii="宋体" w:hAnsi="宋体" w:eastAsia="宋体" w:cs="宋体"/>
          <w:bCs/>
        </w:rPr>
        <w:t>地    址：                            邮政编码：</w:t>
      </w:r>
    </w:p>
    <w:p>
      <w:pPr>
        <w:pStyle w:val="15"/>
        <w:spacing w:line="360" w:lineRule="auto"/>
        <w:ind w:firstLine="0" w:firstLineChars="0"/>
        <w:jc w:val="left"/>
        <w:rPr>
          <w:rFonts w:hint="eastAsia" w:ascii="宋体" w:hAnsi="宋体" w:eastAsia="宋体" w:cs="宋体"/>
          <w:bCs/>
        </w:rPr>
      </w:pPr>
      <w:r>
        <w:rPr>
          <w:rFonts w:hint="eastAsia" w:ascii="宋体" w:hAnsi="宋体" w:eastAsia="宋体" w:cs="宋体"/>
          <w:bCs/>
        </w:rPr>
        <w:t>电    话：                            传    真：</w:t>
      </w:r>
    </w:p>
    <w:p>
      <w:pPr>
        <w:pStyle w:val="15"/>
        <w:spacing w:line="360" w:lineRule="auto"/>
        <w:ind w:firstLine="0" w:firstLineChars="0"/>
        <w:jc w:val="left"/>
        <w:rPr>
          <w:rFonts w:hint="eastAsia" w:ascii="宋体" w:hAnsi="宋体" w:eastAsia="宋体" w:cs="宋体"/>
          <w:bCs/>
        </w:rPr>
      </w:pPr>
      <w:r>
        <w:rPr>
          <w:rFonts w:hint="eastAsia" w:ascii="宋体" w:hAnsi="宋体" w:eastAsia="宋体" w:cs="宋体"/>
          <w:bCs/>
        </w:rPr>
        <w:t>开户单位：                            开户银行：</w:t>
      </w:r>
    </w:p>
    <w:p>
      <w:pPr>
        <w:pStyle w:val="15"/>
        <w:spacing w:line="360" w:lineRule="auto"/>
        <w:ind w:firstLine="0" w:firstLineChars="0"/>
        <w:jc w:val="left"/>
        <w:rPr>
          <w:rFonts w:hint="eastAsia" w:ascii="宋体" w:hAnsi="宋体" w:eastAsia="宋体" w:cs="宋体"/>
          <w:bCs/>
        </w:rPr>
      </w:pPr>
      <w:r>
        <w:rPr>
          <w:rFonts w:hint="eastAsia" w:ascii="宋体" w:hAnsi="宋体" w:eastAsia="宋体" w:cs="宋体"/>
          <w:bCs/>
        </w:rPr>
        <w:t>账    号：</w:t>
      </w:r>
    </w:p>
    <w:p>
      <w:pPr>
        <w:pStyle w:val="15"/>
        <w:spacing w:line="360" w:lineRule="auto"/>
        <w:ind w:firstLine="0" w:firstLineChars="0"/>
        <w:jc w:val="left"/>
        <w:rPr>
          <w:rFonts w:hint="eastAsia" w:ascii="宋体" w:hAnsi="宋体" w:eastAsia="宋体" w:cs="宋体"/>
          <w:bCs/>
        </w:rPr>
      </w:pPr>
      <w:r>
        <w:rPr>
          <w:rFonts w:hint="eastAsia" w:ascii="宋体" w:hAnsi="宋体" w:eastAsia="宋体" w:cs="宋体"/>
          <w:bCs/>
        </w:rPr>
        <w:t>投标企业（印章）                                                                                    年   月   日</w:t>
      </w:r>
    </w:p>
    <w:p>
      <w:pPr>
        <w:spacing w:line="360" w:lineRule="auto"/>
        <w:rPr>
          <w:rFonts w:hint="eastAsia" w:ascii="宋体" w:hAnsi="宋体" w:eastAsia="宋体" w:cs="宋体"/>
          <w:bCs/>
          <w:sz w:val="24"/>
        </w:rPr>
      </w:pPr>
      <w:r>
        <w:rPr>
          <w:rFonts w:hint="eastAsia" w:ascii="宋体" w:hAnsi="宋体" w:eastAsia="宋体" w:cs="宋体"/>
          <w:bCs/>
          <w:sz w:val="24"/>
        </w:rPr>
        <w:br w:type="page"/>
      </w:r>
    </w:p>
    <w:p>
      <w:pPr>
        <w:spacing w:line="360" w:lineRule="auto"/>
        <w:rPr>
          <w:rFonts w:hint="eastAsia" w:ascii="宋体" w:hAnsi="宋体" w:eastAsia="宋体" w:cs="宋体"/>
          <w:bCs/>
          <w:sz w:val="24"/>
        </w:rPr>
      </w:pPr>
      <w:r>
        <w:rPr>
          <w:rFonts w:hint="eastAsia" w:ascii="宋体" w:hAnsi="宋体" w:eastAsia="宋体" w:cs="宋体"/>
          <w:bCs/>
          <w:sz w:val="24"/>
        </w:rPr>
        <w:t>附件二：</w:t>
      </w:r>
    </w:p>
    <w:p>
      <w:pPr>
        <w:pStyle w:val="9"/>
        <w:spacing w:after="0" w:line="360" w:lineRule="auto"/>
        <w:jc w:val="center"/>
        <w:rPr>
          <w:rFonts w:hint="eastAsia" w:ascii="宋体" w:hAnsi="宋体" w:eastAsia="宋体" w:cs="宋体"/>
          <w:bCs/>
          <w:sz w:val="32"/>
          <w:szCs w:val="32"/>
        </w:rPr>
      </w:pPr>
      <w:r>
        <w:rPr>
          <w:rFonts w:hint="eastAsia" w:ascii="宋体" w:hAnsi="宋体" w:eastAsia="宋体" w:cs="宋体"/>
          <w:bCs/>
          <w:sz w:val="32"/>
          <w:szCs w:val="32"/>
        </w:rPr>
        <w:t>法定代表人授权委托书</w:t>
      </w:r>
    </w:p>
    <w:p>
      <w:pPr>
        <w:pStyle w:val="9"/>
        <w:spacing w:after="0" w:line="360" w:lineRule="auto"/>
        <w:jc w:val="center"/>
        <w:rPr>
          <w:rFonts w:hint="eastAsia" w:ascii="宋体" w:hAnsi="宋体" w:eastAsia="宋体" w:cs="宋体"/>
          <w:bCs/>
          <w:sz w:val="32"/>
        </w:rPr>
      </w:pPr>
    </w:p>
    <w:p>
      <w:pPr>
        <w:pStyle w:val="14"/>
        <w:tabs>
          <w:tab w:val="left" w:pos="5580"/>
        </w:tabs>
        <w:spacing w:line="360" w:lineRule="auto"/>
        <w:ind w:firstLine="442" w:firstLineChars="200"/>
        <w:rPr>
          <w:rFonts w:hint="eastAsia" w:ascii="宋体" w:hAnsi="宋体" w:eastAsia="宋体" w:cs="宋体"/>
          <w:bCs/>
          <w:sz w:val="24"/>
        </w:rPr>
      </w:pPr>
      <w:r>
        <w:rPr>
          <w:rFonts w:hint="eastAsia" w:ascii="宋体" w:hAnsi="宋体" w:eastAsia="宋体" w:cs="宋体"/>
          <w:bCs/>
          <w:sz w:val="24"/>
        </w:rPr>
        <w:t>本授权书声明：注册于</w:t>
      </w:r>
      <w:r>
        <w:rPr>
          <w:rFonts w:hint="eastAsia" w:ascii="宋体" w:hAnsi="宋体" w:eastAsia="宋体" w:cs="宋体"/>
          <w:bCs/>
          <w:sz w:val="24"/>
          <w:u w:val="single"/>
        </w:rPr>
        <w:t xml:space="preserve">               </w:t>
      </w:r>
      <w:r>
        <w:rPr>
          <w:rFonts w:hint="eastAsia" w:ascii="宋体" w:hAnsi="宋体" w:eastAsia="宋体" w:cs="宋体"/>
          <w:bCs/>
          <w:sz w:val="24"/>
        </w:rPr>
        <w:t>（国家或地区的名称）的</w:t>
      </w:r>
      <w:r>
        <w:rPr>
          <w:rFonts w:hint="eastAsia" w:ascii="宋体" w:hAnsi="宋体" w:eastAsia="宋体" w:cs="宋体"/>
          <w:bCs/>
          <w:sz w:val="24"/>
          <w:u w:val="single"/>
        </w:rPr>
        <w:t xml:space="preserve">           </w:t>
      </w:r>
      <w:r>
        <w:rPr>
          <w:rFonts w:hint="eastAsia" w:ascii="宋体" w:hAnsi="宋体" w:eastAsia="宋体" w:cs="宋体"/>
          <w:bCs/>
          <w:sz w:val="24"/>
        </w:rPr>
        <w:t>（公司名称）的在下面签字的</w:t>
      </w:r>
      <w:r>
        <w:rPr>
          <w:rFonts w:hint="eastAsia" w:ascii="宋体" w:hAnsi="宋体" w:eastAsia="宋体" w:cs="宋体"/>
          <w:bCs/>
          <w:sz w:val="24"/>
          <w:u w:val="single"/>
        </w:rPr>
        <w:t xml:space="preserve">         </w:t>
      </w:r>
      <w:r>
        <w:rPr>
          <w:rFonts w:hint="eastAsia" w:ascii="宋体" w:hAnsi="宋体" w:eastAsia="宋体" w:cs="宋体"/>
          <w:bCs/>
          <w:sz w:val="24"/>
        </w:rPr>
        <w:t>（法定代表人姓名、职务）代表本公司授权在下面签字的</w:t>
      </w:r>
      <w:r>
        <w:rPr>
          <w:rFonts w:hint="eastAsia" w:ascii="宋体" w:hAnsi="宋体" w:eastAsia="宋体" w:cs="宋体"/>
          <w:bCs/>
          <w:sz w:val="24"/>
          <w:u w:val="single"/>
        </w:rPr>
        <w:t xml:space="preserve">         </w:t>
      </w:r>
      <w:r>
        <w:rPr>
          <w:rFonts w:hint="eastAsia" w:ascii="宋体" w:hAnsi="宋体" w:eastAsia="宋体" w:cs="宋体"/>
          <w:bCs/>
          <w:sz w:val="24"/>
        </w:rPr>
        <w:t>（授权代表的姓名、职务）为本公司的合法代理人，就贵方组织       的项目（项目编号：     ），以本公司名义处理一切与之有关的事务。</w:t>
      </w:r>
    </w:p>
    <w:p>
      <w:pPr>
        <w:spacing w:line="360" w:lineRule="auto"/>
        <w:rPr>
          <w:rFonts w:hint="eastAsia" w:ascii="宋体" w:hAnsi="宋体" w:eastAsia="宋体" w:cs="宋体"/>
          <w:bCs/>
          <w:sz w:val="24"/>
        </w:rPr>
      </w:pPr>
      <w:r>
        <w:rPr>
          <w:rFonts w:hint="eastAsia" w:ascii="宋体" w:hAnsi="宋体" w:eastAsia="宋体" w:cs="宋体"/>
          <w:bCs/>
          <w:sz w:val="24"/>
        </w:rPr>
        <w:t>本授权书于       年       月        日签字生效，特此声明。</w:t>
      </w:r>
      <w:r>
        <w:rPr>
          <w:rFonts w:hint="eastAsia" w:ascii="宋体" w:hAnsi="宋体" w:eastAsia="宋体" w:cs="宋体"/>
          <w:bCs/>
          <w:sz w:val="24"/>
        </w:rPr>
        <w:cr/>
      </w:r>
    </w:p>
    <w:tbl>
      <w:tblPr>
        <w:tblStyle w:val="25"/>
        <w:tblW w:w="6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6300" w:type="dxa"/>
          </w:tcPr>
          <w:p>
            <w:pPr>
              <w:pStyle w:val="14"/>
              <w:tabs>
                <w:tab w:val="left" w:pos="5580"/>
              </w:tabs>
              <w:spacing w:line="360" w:lineRule="auto"/>
              <w:ind w:firstLine="480"/>
              <w:rPr>
                <w:rFonts w:hint="eastAsia" w:ascii="宋体" w:hAnsi="宋体" w:eastAsia="宋体" w:cs="宋体"/>
                <w:bCs/>
                <w:sz w:val="24"/>
              </w:rPr>
            </w:pPr>
          </w:p>
          <w:p>
            <w:pPr>
              <w:pStyle w:val="14"/>
              <w:tabs>
                <w:tab w:val="left" w:pos="5580"/>
              </w:tabs>
              <w:spacing w:line="360" w:lineRule="auto"/>
              <w:rPr>
                <w:rFonts w:hint="eastAsia" w:ascii="宋体" w:hAnsi="宋体" w:eastAsia="宋体" w:cs="宋体"/>
                <w:bCs/>
                <w:sz w:val="24"/>
              </w:rPr>
            </w:pPr>
            <w:r>
              <w:rPr>
                <w:rFonts w:hint="eastAsia" w:ascii="宋体" w:hAnsi="宋体" w:eastAsia="宋体" w:cs="宋体"/>
                <w:bCs/>
                <w:sz w:val="24"/>
              </w:rPr>
              <w:t xml:space="preserve"> </w:t>
            </w:r>
          </w:p>
          <w:p>
            <w:pPr>
              <w:pStyle w:val="14"/>
              <w:tabs>
                <w:tab w:val="left" w:pos="5580"/>
              </w:tabs>
              <w:spacing w:line="360" w:lineRule="auto"/>
              <w:rPr>
                <w:rFonts w:hint="eastAsia" w:ascii="宋体" w:hAnsi="宋体" w:eastAsia="宋体" w:cs="宋体"/>
                <w:bCs/>
                <w:sz w:val="24"/>
              </w:rPr>
            </w:pPr>
            <w:r>
              <w:rPr>
                <w:rFonts w:hint="eastAsia" w:ascii="宋体" w:hAnsi="宋体" w:eastAsia="宋体" w:cs="宋体"/>
                <w:bCs/>
                <w:sz w:val="24"/>
              </w:rPr>
              <w:t xml:space="preserve">  </w:t>
            </w:r>
          </w:p>
          <w:p>
            <w:pPr>
              <w:pStyle w:val="14"/>
              <w:tabs>
                <w:tab w:val="left" w:pos="5580"/>
              </w:tabs>
              <w:spacing w:line="360" w:lineRule="auto"/>
              <w:ind w:firstLine="553" w:firstLineChars="250"/>
              <w:rPr>
                <w:rFonts w:hint="eastAsia" w:ascii="宋体" w:hAnsi="宋体" w:eastAsia="宋体" w:cs="宋体"/>
                <w:bCs/>
                <w:sz w:val="24"/>
              </w:rPr>
            </w:pPr>
            <w:r>
              <w:rPr>
                <w:rFonts w:hint="eastAsia" w:ascii="宋体" w:hAnsi="宋体" w:eastAsia="宋体" w:cs="宋体"/>
                <w:bCs/>
                <w:sz w:val="24"/>
              </w:rPr>
              <w:t xml:space="preserve">       （附授权代表身份证明复印件）</w:t>
            </w:r>
          </w:p>
        </w:tc>
      </w:tr>
    </w:tbl>
    <w:p>
      <w:pPr>
        <w:spacing w:line="360" w:lineRule="auto"/>
        <w:rPr>
          <w:rFonts w:hint="eastAsia" w:ascii="宋体" w:hAnsi="宋体" w:eastAsia="宋体" w:cs="宋体"/>
          <w:bCs/>
          <w:sz w:val="24"/>
        </w:rPr>
      </w:pPr>
    </w:p>
    <w:p>
      <w:pPr>
        <w:spacing w:line="360" w:lineRule="auto"/>
        <w:rPr>
          <w:rFonts w:hint="eastAsia" w:ascii="宋体" w:hAnsi="宋体" w:eastAsia="宋体" w:cs="宋体"/>
          <w:bCs/>
          <w:sz w:val="24"/>
        </w:rPr>
      </w:pPr>
      <w:r>
        <w:rPr>
          <w:rFonts w:hint="eastAsia" w:ascii="宋体" w:hAnsi="宋体" w:eastAsia="宋体" w:cs="宋体"/>
          <w:bCs/>
          <w:sz w:val="24"/>
        </w:rPr>
        <w:t>授权代表姓名：              性别：              年龄：</w:t>
      </w:r>
    </w:p>
    <w:p>
      <w:pPr>
        <w:spacing w:line="360" w:lineRule="auto"/>
        <w:rPr>
          <w:rFonts w:hint="eastAsia" w:ascii="宋体" w:hAnsi="宋体" w:eastAsia="宋体" w:cs="宋体"/>
          <w:bCs/>
          <w:sz w:val="24"/>
        </w:rPr>
      </w:pPr>
    </w:p>
    <w:p>
      <w:pPr>
        <w:spacing w:line="360" w:lineRule="auto"/>
        <w:rPr>
          <w:rFonts w:hint="eastAsia" w:ascii="宋体" w:hAnsi="宋体" w:eastAsia="宋体" w:cs="宋体"/>
          <w:bCs/>
          <w:sz w:val="24"/>
        </w:rPr>
      </w:pPr>
      <w:r>
        <w:rPr>
          <w:rFonts w:hint="eastAsia" w:ascii="宋体" w:hAnsi="宋体" w:eastAsia="宋体" w:cs="宋体"/>
          <w:bCs/>
          <w:sz w:val="24"/>
        </w:rPr>
        <w:t>单位：                        部门：              职务：</w:t>
      </w:r>
    </w:p>
    <w:p>
      <w:pPr>
        <w:pStyle w:val="14"/>
        <w:tabs>
          <w:tab w:val="left" w:pos="5580"/>
        </w:tabs>
        <w:spacing w:line="360" w:lineRule="auto"/>
        <w:ind w:firstLine="480"/>
        <w:rPr>
          <w:rFonts w:hint="eastAsia" w:ascii="宋体" w:hAnsi="宋体" w:eastAsia="宋体" w:cs="宋体"/>
          <w:bCs/>
          <w:sz w:val="24"/>
        </w:rPr>
      </w:pPr>
    </w:p>
    <w:p>
      <w:pPr>
        <w:pStyle w:val="14"/>
        <w:tabs>
          <w:tab w:val="left" w:pos="5580"/>
        </w:tabs>
        <w:spacing w:line="360" w:lineRule="auto"/>
        <w:rPr>
          <w:rFonts w:hint="eastAsia" w:ascii="宋体" w:hAnsi="宋体" w:eastAsia="宋体" w:cs="宋体"/>
          <w:bCs/>
          <w:sz w:val="24"/>
          <w:u w:val="single"/>
        </w:rPr>
      </w:pPr>
      <w:r>
        <w:rPr>
          <w:rFonts w:hint="eastAsia" w:ascii="宋体" w:hAnsi="宋体" w:eastAsia="宋体" w:cs="宋体"/>
          <w:bCs/>
          <w:sz w:val="24"/>
        </w:rPr>
        <w:t>投标企业全称（公章）：</w:t>
      </w:r>
      <w:r>
        <w:rPr>
          <w:rFonts w:hint="eastAsia" w:ascii="宋体" w:hAnsi="宋体" w:eastAsia="宋体" w:cs="宋体"/>
          <w:bCs/>
          <w:sz w:val="24"/>
        </w:rPr>
        <w:cr/>
      </w:r>
    </w:p>
    <w:p>
      <w:pPr>
        <w:spacing w:line="360" w:lineRule="auto"/>
        <w:rPr>
          <w:rFonts w:hint="eastAsia" w:ascii="宋体" w:hAnsi="宋体" w:eastAsia="宋体" w:cs="宋体"/>
          <w:bCs/>
          <w:sz w:val="24"/>
        </w:rPr>
      </w:pPr>
      <w:r>
        <w:rPr>
          <w:rFonts w:hint="eastAsia" w:ascii="宋体" w:hAnsi="宋体" w:eastAsia="宋体" w:cs="宋体"/>
          <w:bCs/>
          <w:sz w:val="24"/>
        </w:rPr>
        <w:br w:type="page"/>
      </w:r>
    </w:p>
    <w:p>
      <w:pPr>
        <w:pStyle w:val="9"/>
        <w:spacing w:after="0" w:line="360" w:lineRule="auto"/>
        <w:rPr>
          <w:rFonts w:hint="eastAsia" w:ascii="宋体" w:hAnsi="宋体" w:eastAsia="宋体" w:cs="宋体"/>
          <w:bCs/>
          <w:sz w:val="24"/>
        </w:rPr>
      </w:pPr>
      <w:r>
        <w:rPr>
          <w:rFonts w:hint="eastAsia" w:ascii="宋体" w:hAnsi="宋体" w:eastAsia="宋体" w:cs="宋体"/>
          <w:bCs/>
          <w:sz w:val="24"/>
        </w:rPr>
        <w:t>附件三：</w:t>
      </w:r>
    </w:p>
    <w:p>
      <w:pPr>
        <w:pStyle w:val="9"/>
        <w:spacing w:after="0" w:line="360" w:lineRule="auto"/>
        <w:jc w:val="center"/>
        <w:rPr>
          <w:rFonts w:hint="eastAsia" w:ascii="宋体" w:hAnsi="宋体" w:eastAsia="宋体" w:cs="宋体"/>
          <w:bCs/>
          <w:sz w:val="32"/>
          <w:szCs w:val="32"/>
        </w:rPr>
      </w:pPr>
      <w:r>
        <w:rPr>
          <w:rFonts w:hint="eastAsia" w:ascii="宋体" w:hAnsi="宋体" w:eastAsia="宋体" w:cs="宋体"/>
          <w:bCs/>
          <w:sz w:val="32"/>
          <w:szCs w:val="32"/>
        </w:rPr>
        <w:t>开标一览表</w:t>
      </w:r>
    </w:p>
    <w:p>
      <w:pPr>
        <w:pStyle w:val="9"/>
        <w:spacing w:after="0" w:line="360" w:lineRule="auto"/>
        <w:jc w:val="left"/>
        <w:rPr>
          <w:rFonts w:hint="eastAsia" w:ascii="宋体" w:hAnsi="宋体" w:eastAsia="宋体" w:cs="宋体"/>
          <w:bCs/>
          <w:sz w:val="24"/>
          <w:szCs w:val="32"/>
          <w:lang w:val="en-US" w:eastAsia="zh-CN"/>
        </w:rPr>
      </w:pPr>
      <w:r>
        <w:rPr>
          <w:rFonts w:hint="eastAsia" w:ascii="宋体" w:hAnsi="宋体" w:eastAsia="宋体" w:cs="宋体"/>
          <w:bCs/>
          <w:sz w:val="24"/>
          <w:szCs w:val="32"/>
          <w:lang w:val="en-US" w:eastAsia="zh-CN"/>
        </w:rPr>
        <w:t>项目名称：</w:t>
      </w:r>
    </w:p>
    <w:p>
      <w:pPr>
        <w:pStyle w:val="9"/>
        <w:spacing w:after="0" w:line="360" w:lineRule="auto"/>
        <w:jc w:val="left"/>
        <w:rPr>
          <w:rFonts w:hint="eastAsia" w:ascii="宋体" w:hAnsi="宋体" w:eastAsia="宋体" w:cs="宋体"/>
          <w:bCs/>
        </w:rPr>
      </w:pPr>
      <w:r>
        <w:rPr>
          <w:rFonts w:hint="eastAsia" w:ascii="宋体" w:hAnsi="宋体" w:eastAsia="宋体" w:cs="宋体"/>
          <w:bCs/>
          <w:sz w:val="24"/>
          <w:szCs w:val="32"/>
        </w:rPr>
        <w:t>项目编号：</w:t>
      </w:r>
      <w:r>
        <w:rPr>
          <w:rFonts w:hint="eastAsia" w:ascii="宋体" w:hAnsi="宋体" w:eastAsia="宋体" w:cs="宋体"/>
          <w:bCs/>
        </w:rPr>
        <w:t xml:space="preserve">                                                      </w:t>
      </w:r>
    </w:p>
    <w:p>
      <w:pPr>
        <w:spacing w:line="360" w:lineRule="auto"/>
        <w:rPr>
          <w:rFonts w:hint="eastAsia" w:ascii="宋体" w:hAnsi="宋体" w:eastAsia="宋体" w:cs="宋体"/>
          <w:bCs/>
          <w:sz w:val="24"/>
          <w:u w:val="single"/>
        </w:rPr>
      </w:pPr>
      <w:r>
        <w:rPr>
          <w:rFonts w:hint="eastAsia" w:ascii="宋体" w:hAnsi="宋体" w:eastAsia="宋体" w:cs="宋体"/>
          <w:bCs/>
          <w:sz w:val="24"/>
        </w:rPr>
        <w:t>投标企业名称：</w:t>
      </w:r>
      <w:r>
        <w:rPr>
          <w:rFonts w:hint="eastAsia" w:ascii="宋体" w:hAnsi="宋体" w:eastAsia="宋体" w:cs="宋体"/>
          <w:bCs/>
          <w:sz w:val="24"/>
          <w:u w:val="single"/>
        </w:rPr>
        <w:t xml:space="preserve">      （公章）        </w:t>
      </w:r>
      <w:r>
        <w:rPr>
          <w:rFonts w:hint="eastAsia" w:ascii="宋体" w:hAnsi="宋体" w:eastAsia="宋体" w:cs="宋体"/>
          <w:bCs/>
          <w:sz w:val="24"/>
        </w:rPr>
        <w:t xml:space="preserve">   </w:t>
      </w:r>
    </w:p>
    <w:p>
      <w:pPr>
        <w:tabs>
          <w:tab w:val="left" w:pos="764"/>
        </w:tabs>
        <w:spacing w:line="360" w:lineRule="auto"/>
        <w:jc w:val="center"/>
        <w:rPr>
          <w:rFonts w:hint="eastAsia" w:ascii="宋体" w:hAnsi="宋体" w:eastAsia="宋体" w:cs="宋体"/>
          <w:bCs/>
          <w:sz w:val="22"/>
        </w:rPr>
      </w:pPr>
      <w:r>
        <w:rPr>
          <w:rFonts w:hint="eastAsia" w:ascii="宋体" w:hAnsi="宋体" w:eastAsia="宋体" w:cs="宋体"/>
          <w:bCs/>
          <w:sz w:val="24"/>
        </w:rPr>
        <w:t xml:space="preserve">                                                </w:t>
      </w:r>
      <w:r>
        <w:rPr>
          <w:rFonts w:hint="eastAsia" w:ascii="宋体" w:hAnsi="宋体" w:eastAsia="宋体" w:cs="宋体"/>
          <w:bCs/>
          <w:sz w:val="22"/>
        </w:rPr>
        <w:t xml:space="preserve">   单位：元（人民币）</w:t>
      </w:r>
    </w:p>
    <w:tbl>
      <w:tblPr>
        <w:tblStyle w:val="25"/>
        <w:tblW w:w="8813" w:type="dxa"/>
        <w:tblInd w:w="113" w:type="dxa"/>
        <w:tblLayout w:type="autofit"/>
        <w:tblCellMar>
          <w:top w:w="0" w:type="dxa"/>
          <w:left w:w="108" w:type="dxa"/>
          <w:bottom w:w="0" w:type="dxa"/>
          <w:right w:w="108" w:type="dxa"/>
        </w:tblCellMar>
      </w:tblPr>
      <w:tblGrid>
        <w:gridCol w:w="2292"/>
        <w:gridCol w:w="1559"/>
        <w:gridCol w:w="1843"/>
        <w:gridCol w:w="1559"/>
        <w:gridCol w:w="1560"/>
      </w:tblGrid>
      <w:tr>
        <w:tblPrEx>
          <w:tblCellMar>
            <w:top w:w="0" w:type="dxa"/>
            <w:left w:w="108" w:type="dxa"/>
            <w:bottom w:w="0" w:type="dxa"/>
            <w:right w:w="108" w:type="dxa"/>
          </w:tblCellMar>
        </w:tblPrEx>
        <w:trPr>
          <w:trHeight w:val="635" w:hRule="atLeast"/>
        </w:trPr>
        <w:tc>
          <w:tcPr>
            <w:tcW w:w="2292" w:type="dxa"/>
            <w:vMerge w:val="restart"/>
            <w:tcBorders>
              <w:top w:val="single" w:color="auto" w:sz="4" w:space="0"/>
              <w:left w:val="single" w:color="auto" w:sz="4" w:space="0"/>
              <w:right w:val="single" w:color="auto" w:sz="4" w:space="0"/>
            </w:tcBorders>
            <w:shd w:val="clear" w:color="auto" w:fill="auto"/>
            <w:noWrap/>
          </w:tcPr>
          <w:p>
            <w:pPr>
              <w:widowControl/>
              <w:jc w:val="left"/>
              <w:rPr>
                <w:rFonts w:hint="eastAsia" w:ascii="宋体" w:hAnsi="宋体" w:eastAsia="宋体" w:cs="宋体"/>
                <w:color w:val="000000" w:themeColor="text1"/>
                <w:kern w:val="0"/>
                <w:sz w:val="24"/>
                <w:szCs w:val="24"/>
                <w14:textFill>
                  <w14:solidFill>
                    <w14:schemeClr w14:val="tx1"/>
                  </w14:solidFill>
                </w14:textFill>
              </w:rPr>
            </w:pPr>
          </w:p>
          <w:p>
            <w:pPr>
              <w:widowControl/>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细目</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午餐报价</w:t>
            </w:r>
          </w:p>
        </w:tc>
        <w:tc>
          <w:tcPr>
            <w:tcW w:w="3119" w:type="dxa"/>
            <w:gridSpan w:val="2"/>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晚餐报价</w:t>
            </w:r>
          </w:p>
        </w:tc>
      </w:tr>
      <w:tr>
        <w:tblPrEx>
          <w:tblCellMar>
            <w:top w:w="0" w:type="dxa"/>
            <w:left w:w="108" w:type="dxa"/>
            <w:bottom w:w="0" w:type="dxa"/>
            <w:right w:w="108" w:type="dxa"/>
          </w:tblCellMar>
        </w:tblPrEx>
        <w:trPr>
          <w:trHeight w:val="342" w:hRule="atLeast"/>
        </w:trPr>
        <w:tc>
          <w:tcPr>
            <w:tcW w:w="2292" w:type="dxa"/>
            <w:vMerge w:val="continue"/>
            <w:tcBorders>
              <w:left w:val="single" w:color="auto" w:sz="4" w:space="0"/>
              <w:bottom w:val="single" w:color="auto" w:sz="4" w:space="0"/>
              <w:right w:val="single" w:color="auto" w:sz="4" w:space="0"/>
            </w:tcBorders>
            <w:shd w:val="clear" w:color="auto" w:fill="auto"/>
            <w:noWrap/>
          </w:tcPr>
          <w:p>
            <w:pPr>
              <w:widowControl/>
              <w:ind w:firstLine="29" w:firstLineChars="13"/>
              <w:rPr>
                <w:rFonts w:hint="eastAsia" w:ascii="宋体" w:hAnsi="宋体" w:eastAsia="宋体" w:cs="宋体"/>
                <w:color w:val="000000" w:themeColor="text1"/>
                <w:kern w:val="0"/>
                <w:sz w:val="24"/>
                <w:szCs w:val="24"/>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比率</w:t>
            </w:r>
          </w:p>
        </w:tc>
        <w:tc>
          <w:tcPr>
            <w:tcW w:w="1559" w:type="dxa"/>
            <w:tcBorders>
              <w:top w:val="single" w:color="auto" w:sz="4" w:space="0"/>
              <w:left w:val="nil"/>
              <w:bottom w:val="single" w:color="auto" w:sz="4" w:space="0"/>
              <w:right w:val="single" w:color="auto" w:sz="4" w:space="0"/>
            </w:tcBorders>
            <w:vAlign w:val="center"/>
          </w:tcPr>
          <w:p>
            <w:pPr>
              <w:widowControl/>
              <w:spacing w:line="280" w:lineRule="exact"/>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w:t>
            </w:r>
          </w:p>
        </w:tc>
        <w:tc>
          <w:tcPr>
            <w:tcW w:w="156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比率</w:t>
            </w:r>
          </w:p>
        </w:tc>
      </w:tr>
      <w:tr>
        <w:tblPrEx>
          <w:tblCellMar>
            <w:top w:w="0" w:type="dxa"/>
            <w:left w:w="108" w:type="dxa"/>
            <w:bottom w:w="0" w:type="dxa"/>
            <w:right w:w="108" w:type="dxa"/>
          </w:tblCellMar>
        </w:tblPrEx>
        <w:trPr>
          <w:trHeight w:val="309" w:hRule="atLeast"/>
        </w:trPr>
        <w:tc>
          <w:tcPr>
            <w:tcW w:w="229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食材成本</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00" w:lineRule="exact"/>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320" w:lineRule="exact"/>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1559" w:type="dxa"/>
            <w:tcBorders>
              <w:top w:val="nil"/>
              <w:left w:val="nil"/>
              <w:bottom w:val="single" w:color="auto" w:sz="4" w:space="0"/>
              <w:right w:val="single" w:color="auto" w:sz="4" w:space="0"/>
            </w:tcBorders>
            <w:vAlign w:val="center"/>
          </w:tcPr>
          <w:p>
            <w:pPr>
              <w:widowControl/>
              <w:spacing w:line="500" w:lineRule="exact"/>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p>
        </w:tc>
        <w:tc>
          <w:tcPr>
            <w:tcW w:w="1560" w:type="dxa"/>
            <w:tcBorders>
              <w:top w:val="nil"/>
              <w:left w:val="nil"/>
              <w:bottom w:val="single" w:color="auto" w:sz="4" w:space="0"/>
              <w:right w:val="single" w:color="auto" w:sz="4" w:space="0"/>
            </w:tcBorders>
            <w:vAlign w:val="center"/>
          </w:tcPr>
          <w:p>
            <w:pPr>
              <w:widowControl/>
              <w:spacing w:line="5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CellMar>
            <w:top w:w="0" w:type="dxa"/>
            <w:left w:w="108" w:type="dxa"/>
            <w:bottom w:w="0" w:type="dxa"/>
            <w:right w:w="108" w:type="dxa"/>
          </w:tblCellMar>
        </w:tblPrEx>
        <w:trPr>
          <w:trHeight w:val="309" w:hRule="atLeast"/>
        </w:trPr>
        <w:tc>
          <w:tcPr>
            <w:tcW w:w="229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管理费（含员工工资、奖金、福利、保洁用品、配餐包装、制服费、保险、税金、利润）</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00" w:lineRule="exact"/>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1559" w:type="dxa"/>
            <w:tcBorders>
              <w:top w:val="nil"/>
              <w:left w:val="nil"/>
              <w:bottom w:val="single" w:color="auto" w:sz="4" w:space="0"/>
              <w:right w:val="single" w:color="auto" w:sz="4" w:space="0"/>
            </w:tcBorders>
            <w:vAlign w:val="center"/>
          </w:tcPr>
          <w:p>
            <w:pPr>
              <w:widowControl/>
              <w:spacing w:line="500" w:lineRule="exact"/>
              <w:ind w:firstLine="29" w:firstLineChars="13"/>
              <w:jc w:val="center"/>
              <w:rPr>
                <w:rFonts w:hint="eastAsia" w:ascii="宋体" w:hAnsi="宋体" w:eastAsia="宋体" w:cs="宋体"/>
                <w:color w:val="000000" w:themeColor="text1"/>
                <w:kern w:val="0"/>
                <w:sz w:val="24"/>
                <w:szCs w:val="24"/>
                <w14:textFill>
                  <w14:solidFill>
                    <w14:schemeClr w14:val="tx1"/>
                  </w14:solidFill>
                </w14:textFill>
              </w:rPr>
            </w:pPr>
          </w:p>
        </w:tc>
        <w:tc>
          <w:tcPr>
            <w:tcW w:w="1560" w:type="dxa"/>
            <w:tcBorders>
              <w:top w:val="nil"/>
              <w:left w:val="nil"/>
              <w:bottom w:val="single" w:color="auto" w:sz="4" w:space="0"/>
              <w:right w:val="single" w:color="auto" w:sz="4" w:space="0"/>
            </w:tcBorders>
            <w:vAlign w:val="center"/>
          </w:tcPr>
          <w:p>
            <w:pPr>
              <w:widowControl/>
              <w:spacing w:line="5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bl>
    <w:p>
      <w:pPr>
        <w:pStyle w:val="9"/>
        <w:rPr>
          <w:rFonts w:hint="eastAsia" w:ascii="宋体" w:hAnsi="宋体" w:eastAsia="宋体" w:cs="宋体"/>
        </w:rPr>
      </w:pPr>
    </w:p>
    <w:p>
      <w:pPr>
        <w:widowControl/>
        <w:spacing w:line="360" w:lineRule="auto"/>
        <w:ind w:firstLine="435" w:firstLineChars="197"/>
        <w:rPr>
          <w:rFonts w:hint="eastAsia" w:ascii="宋体" w:hAnsi="宋体" w:eastAsia="宋体" w:cs="宋体"/>
          <w:color w:val="000000"/>
          <w:kern w:val="0"/>
          <w:sz w:val="24"/>
        </w:rPr>
      </w:pPr>
      <w:bookmarkStart w:id="512" w:name="_Toc21981"/>
      <w:bookmarkStart w:id="513" w:name="_Toc13177"/>
      <w:r>
        <w:rPr>
          <w:rFonts w:hint="eastAsia" w:ascii="宋体" w:hAnsi="宋体" w:eastAsia="宋体" w:cs="宋体"/>
          <w:color w:val="000000"/>
          <w:kern w:val="0"/>
          <w:sz w:val="24"/>
        </w:rPr>
        <w:t>注：1） 本次报价一次性报价，报价币种为人民币。</w:t>
      </w:r>
    </w:p>
    <w:p>
      <w:pPr>
        <w:widowControl/>
        <w:spacing w:line="360" w:lineRule="auto"/>
        <w:ind w:firstLine="435" w:firstLineChars="197"/>
        <w:rPr>
          <w:rFonts w:hint="eastAsia" w:ascii="宋体" w:hAnsi="宋体" w:eastAsia="宋体" w:cs="宋体"/>
          <w:color w:val="000000"/>
          <w:kern w:val="0"/>
          <w:sz w:val="24"/>
        </w:rPr>
      </w:pPr>
      <w:r>
        <w:rPr>
          <w:rFonts w:hint="eastAsia" w:ascii="宋体" w:hAnsi="宋体" w:eastAsia="宋体" w:cs="宋体"/>
          <w:color w:val="000000"/>
          <w:kern w:val="0"/>
          <w:sz w:val="24"/>
        </w:rPr>
        <w:t>2）投标人对报价若有说明应在开标一览表备注处注明。招标代理机构不接受可选择的报价方案和价格。任何有选择的或可调整的报价方案和价格将被视为非响应性报价而被拒绝。</w:t>
      </w:r>
    </w:p>
    <w:p>
      <w:pPr>
        <w:widowControl/>
        <w:spacing w:line="360" w:lineRule="auto"/>
        <w:ind w:firstLine="435" w:firstLineChars="197"/>
        <w:jc w:val="right"/>
        <w:rPr>
          <w:rFonts w:hint="eastAsia" w:ascii="宋体" w:hAnsi="宋体" w:eastAsia="宋体" w:cs="宋体"/>
          <w:bCs/>
          <w:sz w:val="24"/>
          <w:szCs w:val="32"/>
        </w:rPr>
      </w:pPr>
      <w:r>
        <w:rPr>
          <w:rFonts w:hint="eastAsia" w:ascii="宋体" w:hAnsi="宋体" w:eastAsia="宋体" w:cs="宋体"/>
          <w:bCs/>
          <w:sz w:val="24"/>
          <w:szCs w:val="32"/>
        </w:rPr>
        <w:t>年   月   日</w:t>
      </w:r>
    </w:p>
    <w:bookmarkEnd w:id="512"/>
    <w:bookmarkEnd w:id="513"/>
    <w:p>
      <w:pPr>
        <w:widowControl/>
        <w:spacing w:line="360" w:lineRule="auto"/>
        <w:jc w:val="left"/>
        <w:rPr>
          <w:rFonts w:hint="eastAsia" w:ascii="宋体" w:hAnsi="宋体" w:eastAsia="宋体" w:cs="宋体"/>
          <w:sz w:val="24"/>
        </w:rPr>
      </w:pPr>
      <w:bookmarkStart w:id="514" w:name="_Toc245524422"/>
      <w:bookmarkStart w:id="515" w:name="_Toc17009"/>
      <w:bookmarkStart w:id="516" w:name="_Toc31127"/>
    </w:p>
    <w:p>
      <w:pPr>
        <w:widowControl/>
        <w:spacing w:line="360" w:lineRule="auto"/>
        <w:jc w:val="left"/>
        <w:rPr>
          <w:rFonts w:hint="eastAsia" w:ascii="宋体" w:hAnsi="宋体" w:eastAsia="宋体" w:cs="宋体"/>
          <w:sz w:val="24"/>
        </w:rPr>
      </w:pPr>
    </w:p>
    <w:p>
      <w:pPr>
        <w:widowControl/>
        <w:spacing w:line="360" w:lineRule="auto"/>
        <w:jc w:val="left"/>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br w:type="page"/>
      </w:r>
    </w:p>
    <w:p>
      <w:pPr>
        <w:widowControl/>
        <w:spacing w:line="360" w:lineRule="auto"/>
        <w:jc w:val="left"/>
        <w:rPr>
          <w:rFonts w:hint="eastAsia" w:ascii="宋体" w:hAnsi="宋体" w:eastAsia="宋体" w:cs="宋体"/>
        </w:rPr>
      </w:pPr>
      <w:r>
        <w:rPr>
          <w:rFonts w:hint="eastAsia" w:ascii="宋体" w:hAnsi="宋体" w:eastAsia="宋体" w:cs="宋体"/>
          <w:sz w:val="24"/>
        </w:rPr>
        <w:t>附件四：</w:t>
      </w:r>
      <w:r>
        <w:rPr>
          <w:rFonts w:hint="eastAsia" w:ascii="宋体" w:hAnsi="宋体" w:eastAsia="宋体" w:cs="宋体"/>
        </w:rPr>
        <w:t xml:space="preserve">                </w:t>
      </w:r>
    </w:p>
    <w:p>
      <w:pPr>
        <w:widowControl/>
        <w:spacing w:line="360" w:lineRule="auto"/>
        <w:ind w:firstLine="593" w:firstLineChars="197"/>
        <w:jc w:val="center"/>
        <w:rPr>
          <w:rFonts w:hint="eastAsia" w:ascii="宋体" w:hAnsi="宋体" w:eastAsia="宋体" w:cs="宋体"/>
          <w:bCs/>
          <w:sz w:val="32"/>
          <w:szCs w:val="32"/>
        </w:rPr>
      </w:pPr>
      <w:r>
        <w:rPr>
          <w:rFonts w:hint="eastAsia" w:ascii="宋体" w:hAnsi="宋体" w:eastAsia="宋体" w:cs="宋体"/>
          <w:bCs/>
          <w:sz w:val="32"/>
          <w:szCs w:val="32"/>
        </w:rPr>
        <w:t>近年业绩一览表</w:t>
      </w:r>
      <w:bookmarkEnd w:id="514"/>
      <w:bookmarkEnd w:id="515"/>
      <w:bookmarkEnd w:id="516"/>
    </w:p>
    <w:p>
      <w:pPr>
        <w:pStyle w:val="10"/>
        <w:spacing w:line="360" w:lineRule="auto"/>
        <w:ind w:left="0" w:leftChars="0" w:firstLine="0" w:firstLineChars="0"/>
        <w:rPr>
          <w:rFonts w:hint="eastAsia" w:ascii="宋体" w:hAnsi="宋体" w:eastAsia="宋体" w:cs="宋体"/>
          <w:bCs/>
          <w:u w:val="single"/>
        </w:rPr>
      </w:pPr>
      <w:r>
        <w:rPr>
          <w:rFonts w:hint="eastAsia" w:ascii="宋体" w:hAnsi="宋体" w:eastAsia="宋体" w:cs="宋体"/>
          <w:bCs/>
        </w:rPr>
        <w:t>投标企业名称（加盖公章）：</w:t>
      </w:r>
      <w:r>
        <w:rPr>
          <w:rFonts w:hint="eastAsia" w:ascii="宋体" w:hAnsi="宋体" w:eastAsia="宋体" w:cs="宋体"/>
          <w:bCs/>
          <w:u w:val="single"/>
        </w:rPr>
        <w:t xml:space="preserve">           </w:t>
      </w:r>
      <w:r>
        <w:rPr>
          <w:rFonts w:hint="eastAsia" w:ascii="宋体" w:hAnsi="宋体" w:eastAsia="宋体" w:cs="宋体"/>
          <w:bCs/>
        </w:rPr>
        <w:t xml:space="preserve">   法定代表人或授权代表签字：</w:t>
      </w:r>
      <w:r>
        <w:rPr>
          <w:rFonts w:hint="eastAsia" w:ascii="宋体" w:hAnsi="宋体" w:eastAsia="宋体" w:cs="宋体"/>
          <w:bCs/>
          <w:u w:val="single"/>
        </w:rPr>
        <w:t xml:space="preserve">           </w:t>
      </w:r>
    </w:p>
    <w:tbl>
      <w:tblPr>
        <w:tblStyle w:val="25"/>
        <w:tblW w:w="9844" w:type="dxa"/>
        <w:tblInd w:w="-5" w:type="dxa"/>
        <w:tblLayout w:type="fixed"/>
        <w:tblCellMar>
          <w:top w:w="0" w:type="dxa"/>
          <w:left w:w="108" w:type="dxa"/>
          <w:bottom w:w="0" w:type="dxa"/>
          <w:right w:w="108" w:type="dxa"/>
        </w:tblCellMar>
      </w:tblPr>
      <w:tblGrid>
        <w:gridCol w:w="1701"/>
        <w:gridCol w:w="1701"/>
        <w:gridCol w:w="3012"/>
        <w:gridCol w:w="1808"/>
        <w:gridCol w:w="1585"/>
        <w:gridCol w:w="37"/>
      </w:tblGrid>
      <w:tr>
        <w:tblPrEx>
          <w:tblCellMar>
            <w:top w:w="0" w:type="dxa"/>
            <w:left w:w="108" w:type="dxa"/>
            <w:bottom w:w="0" w:type="dxa"/>
            <w:right w:w="108" w:type="dxa"/>
          </w:tblCellMar>
        </w:tblPrEx>
        <w:trPr>
          <w:gridAfter w:val="1"/>
          <w:wAfter w:w="37" w:type="dxa"/>
          <w:trHeight w:val="559" w:hRule="atLeast"/>
        </w:trPr>
        <w:tc>
          <w:tcPr>
            <w:tcW w:w="17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使用单位</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项目名称</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业主名称</w:t>
            </w:r>
          </w:p>
        </w:tc>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规模</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签订日期</w:t>
            </w:r>
          </w:p>
        </w:tc>
      </w:tr>
      <w:tr>
        <w:tblPrEx>
          <w:tblCellMar>
            <w:top w:w="0" w:type="dxa"/>
            <w:left w:w="108" w:type="dxa"/>
            <w:bottom w:w="0" w:type="dxa"/>
            <w:right w:w="108" w:type="dxa"/>
          </w:tblCellMar>
        </w:tblPrEx>
        <w:trPr>
          <w:gridAfter w:val="1"/>
          <w:wAfter w:w="37" w:type="dxa"/>
          <w:trHeight w:val="31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012"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808"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58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37" w:type="dxa"/>
          <w:trHeight w:val="31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01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80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58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37" w:type="dxa"/>
          <w:trHeight w:val="31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01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80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58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37" w:type="dxa"/>
          <w:trHeight w:val="31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01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80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58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37" w:type="dxa"/>
          <w:trHeight w:val="31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01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80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58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37" w:type="dxa"/>
          <w:trHeight w:val="31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01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80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58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37" w:type="dxa"/>
          <w:trHeight w:val="31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01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80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58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37" w:type="dxa"/>
          <w:trHeight w:val="31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01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80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58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37" w:type="dxa"/>
          <w:trHeight w:val="31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01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80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58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37" w:type="dxa"/>
          <w:trHeight w:val="31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01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80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58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1050" w:hRule="atLeast"/>
        </w:trPr>
        <w:tc>
          <w:tcPr>
            <w:tcW w:w="984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备注</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w:t>
            </w:r>
            <w:r>
              <w:rPr>
                <w:rFonts w:hint="eastAsia" w:ascii="宋体" w:hAnsi="宋体" w:eastAsia="宋体" w:cs="宋体"/>
                <w:color w:val="000000"/>
                <w:kern w:val="0"/>
                <w:sz w:val="14"/>
                <w:szCs w:val="14"/>
              </w:rPr>
              <w:t xml:space="preserve"> </w:t>
            </w:r>
            <w:r>
              <w:rPr>
                <w:rFonts w:hint="eastAsia" w:ascii="宋体" w:hAnsi="宋体" w:eastAsia="宋体" w:cs="宋体"/>
                <w:color w:val="000000"/>
                <w:kern w:val="0"/>
                <w:sz w:val="24"/>
              </w:rPr>
              <w:t>后附合同或协议等证明资料；</w:t>
            </w:r>
          </w:p>
        </w:tc>
      </w:tr>
    </w:tbl>
    <w:p>
      <w:pPr>
        <w:pStyle w:val="12"/>
        <w:spacing w:line="360" w:lineRule="auto"/>
        <w:ind w:left="91" w:leftChars="0" w:hanging="91" w:hangingChars="41"/>
        <w:rPr>
          <w:rFonts w:hint="eastAsia" w:ascii="宋体" w:hAnsi="宋体" w:eastAsia="宋体" w:cs="宋体"/>
          <w:bCs/>
          <w:sz w:val="24"/>
        </w:rPr>
      </w:pPr>
    </w:p>
    <w:p>
      <w:pPr>
        <w:spacing w:line="360" w:lineRule="auto"/>
        <w:rPr>
          <w:rFonts w:hint="eastAsia" w:ascii="宋体" w:hAnsi="宋体" w:eastAsia="宋体" w:cs="宋体"/>
          <w:bCs/>
          <w:sz w:val="24"/>
        </w:rPr>
      </w:pPr>
    </w:p>
    <w:p>
      <w:pPr>
        <w:pStyle w:val="10"/>
        <w:spacing w:line="360" w:lineRule="auto"/>
        <w:ind w:left="0" w:leftChars="0"/>
        <w:jc w:val="right"/>
        <w:rPr>
          <w:rFonts w:hint="eastAsia" w:ascii="宋体" w:hAnsi="宋体" w:eastAsia="宋体" w:cs="宋体"/>
          <w:bCs/>
          <w:sz w:val="28"/>
          <w:szCs w:val="28"/>
        </w:rPr>
      </w:pPr>
      <w:r>
        <w:rPr>
          <w:rFonts w:hint="eastAsia" w:ascii="宋体" w:hAnsi="宋体" w:eastAsia="宋体" w:cs="宋体"/>
          <w:bCs/>
        </w:rPr>
        <w:t xml:space="preserve">                                      年    月    日</w:t>
      </w:r>
    </w:p>
    <w:p>
      <w:pPr>
        <w:widowControl/>
        <w:spacing w:line="360" w:lineRule="auto"/>
        <w:jc w:val="left"/>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br w:type="page"/>
      </w:r>
    </w:p>
    <w:p>
      <w:pPr>
        <w:widowControl/>
        <w:spacing w:line="360" w:lineRule="auto"/>
        <w:jc w:val="left"/>
        <w:rPr>
          <w:rFonts w:hint="eastAsia" w:ascii="宋体" w:hAnsi="宋体" w:eastAsia="宋体" w:cs="宋体"/>
        </w:rPr>
      </w:pPr>
      <w:r>
        <w:rPr>
          <w:rFonts w:hint="eastAsia" w:ascii="宋体" w:hAnsi="宋体" w:eastAsia="宋体" w:cs="宋体"/>
          <w:sz w:val="24"/>
        </w:rPr>
        <w:t>附件五：</w:t>
      </w:r>
      <w:r>
        <w:rPr>
          <w:rFonts w:hint="eastAsia" w:ascii="宋体" w:hAnsi="宋体" w:eastAsia="宋体" w:cs="宋体"/>
        </w:rPr>
        <w:t xml:space="preserve">                </w:t>
      </w:r>
    </w:p>
    <w:p>
      <w:pPr>
        <w:widowControl/>
        <w:spacing w:line="360" w:lineRule="auto"/>
        <w:ind w:firstLine="593" w:firstLineChars="197"/>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质量保证和获奖一览表</w:t>
      </w:r>
    </w:p>
    <w:p>
      <w:pPr>
        <w:pStyle w:val="10"/>
        <w:spacing w:line="360" w:lineRule="auto"/>
        <w:ind w:left="0" w:leftChars="0" w:firstLine="0" w:firstLineChars="0"/>
        <w:rPr>
          <w:rFonts w:hint="eastAsia" w:ascii="宋体" w:hAnsi="宋体" w:eastAsia="宋体" w:cs="宋体"/>
          <w:bCs/>
          <w:color w:val="auto"/>
          <w:u w:val="single"/>
        </w:rPr>
      </w:pPr>
      <w:r>
        <w:rPr>
          <w:rFonts w:hint="eastAsia" w:ascii="宋体" w:hAnsi="宋体" w:eastAsia="宋体" w:cs="宋体"/>
          <w:bCs/>
          <w:color w:val="auto"/>
        </w:rPr>
        <w:t>投标企业名称（加盖公章）：</w:t>
      </w:r>
      <w:r>
        <w:rPr>
          <w:rFonts w:hint="eastAsia" w:ascii="宋体" w:hAnsi="宋体" w:eastAsia="宋体" w:cs="宋体"/>
          <w:bCs/>
          <w:color w:val="auto"/>
          <w:u w:val="single"/>
        </w:rPr>
        <w:t xml:space="preserve">           </w:t>
      </w:r>
      <w:r>
        <w:rPr>
          <w:rFonts w:hint="eastAsia" w:ascii="宋体" w:hAnsi="宋体" w:eastAsia="宋体" w:cs="宋体"/>
          <w:bCs/>
          <w:color w:val="auto"/>
        </w:rPr>
        <w:t xml:space="preserve">   法定代表人或授权代表签字：</w:t>
      </w:r>
      <w:r>
        <w:rPr>
          <w:rFonts w:hint="eastAsia" w:ascii="宋体" w:hAnsi="宋体" w:eastAsia="宋体" w:cs="宋体"/>
          <w:bCs/>
          <w:color w:val="auto"/>
          <w:u w:val="single"/>
        </w:rPr>
        <w:t xml:space="preserve">           </w:t>
      </w:r>
    </w:p>
    <w:p>
      <w:pPr>
        <w:pStyle w:val="9"/>
        <w:rPr>
          <w:rFonts w:hint="eastAsia" w:ascii="宋体" w:hAnsi="宋体" w:eastAsia="宋体" w:cs="宋体"/>
          <w:color w:val="auto"/>
        </w:rPr>
      </w:pPr>
    </w:p>
    <w:p>
      <w:pPr>
        <w:rPr>
          <w:rFonts w:hint="eastAsia" w:ascii="宋体" w:hAnsi="宋体" w:eastAsia="宋体" w:cs="宋体"/>
          <w:color w:val="auto"/>
        </w:rPr>
      </w:pPr>
    </w:p>
    <w:tbl>
      <w:tblPr>
        <w:tblStyle w:val="25"/>
        <w:tblW w:w="9960" w:type="dxa"/>
        <w:tblInd w:w="-5" w:type="dxa"/>
        <w:tblLayout w:type="autofit"/>
        <w:tblCellMar>
          <w:top w:w="0" w:type="dxa"/>
          <w:left w:w="108" w:type="dxa"/>
          <w:bottom w:w="0" w:type="dxa"/>
          <w:right w:w="108" w:type="dxa"/>
        </w:tblCellMar>
      </w:tblPr>
      <w:tblGrid>
        <w:gridCol w:w="1040"/>
        <w:gridCol w:w="3240"/>
        <w:gridCol w:w="2340"/>
        <w:gridCol w:w="1760"/>
        <w:gridCol w:w="1580"/>
      </w:tblGrid>
      <w:tr>
        <w:tblPrEx>
          <w:tblCellMar>
            <w:top w:w="0" w:type="dxa"/>
            <w:left w:w="108" w:type="dxa"/>
            <w:bottom w:w="0" w:type="dxa"/>
            <w:right w:w="108" w:type="dxa"/>
          </w:tblCellMar>
        </w:tblPrEx>
        <w:trPr>
          <w:trHeight w:val="300" w:hRule="atLeast"/>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3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质量保证和获奖内容</w:t>
            </w:r>
          </w:p>
        </w:tc>
        <w:tc>
          <w:tcPr>
            <w:tcW w:w="23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发证单位/标准名称</w:t>
            </w:r>
          </w:p>
        </w:tc>
        <w:tc>
          <w:tcPr>
            <w:tcW w:w="1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获证/参与时间</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备注</w:t>
            </w:r>
          </w:p>
        </w:tc>
      </w:tr>
      <w:tr>
        <w:tblPrEx>
          <w:tblCellMar>
            <w:top w:w="0" w:type="dxa"/>
            <w:left w:w="108" w:type="dxa"/>
            <w:bottom w:w="0" w:type="dxa"/>
            <w:right w:w="108" w:type="dxa"/>
          </w:tblCellMar>
        </w:tblPrEx>
        <w:trPr>
          <w:trHeight w:val="31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p>
        </w:tc>
        <w:tc>
          <w:tcPr>
            <w:tcW w:w="23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5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tblPrEx>
          <w:tblCellMar>
            <w:top w:w="0" w:type="dxa"/>
            <w:left w:w="108" w:type="dxa"/>
            <w:bottom w:w="0" w:type="dxa"/>
            <w:right w:w="108" w:type="dxa"/>
          </w:tblCellMar>
        </w:tblPrEx>
        <w:trPr>
          <w:trHeight w:val="31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p>
        </w:tc>
        <w:tc>
          <w:tcPr>
            <w:tcW w:w="23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5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tblPrEx>
          <w:tblCellMar>
            <w:top w:w="0" w:type="dxa"/>
            <w:left w:w="108" w:type="dxa"/>
            <w:bottom w:w="0" w:type="dxa"/>
            <w:right w:w="108" w:type="dxa"/>
          </w:tblCellMar>
        </w:tblPrEx>
        <w:trPr>
          <w:trHeight w:val="31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p>
        </w:tc>
        <w:tc>
          <w:tcPr>
            <w:tcW w:w="23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5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tblPrEx>
          <w:tblCellMar>
            <w:top w:w="0" w:type="dxa"/>
            <w:left w:w="108" w:type="dxa"/>
            <w:bottom w:w="0" w:type="dxa"/>
            <w:right w:w="108" w:type="dxa"/>
          </w:tblCellMar>
        </w:tblPrEx>
        <w:trPr>
          <w:trHeight w:val="31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4</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p>
        </w:tc>
        <w:tc>
          <w:tcPr>
            <w:tcW w:w="23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5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tblPrEx>
          <w:tblCellMar>
            <w:top w:w="0" w:type="dxa"/>
            <w:left w:w="108" w:type="dxa"/>
            <w:bottom w:w="0" w:type="dxa"/>
            <w:right w:w="108" w:type="dxa"/>
          </w:tblCellMar>
        </w:tblPrEx>
        <w:trPr>
          <w:trHeight w:val="31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5</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p>
        </w:tc>
        <w:tc>
          <w:tcPr>
            <w:tcW w:w="23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5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tblPrEx>
          <w:tblCellMar>
            <w:top w:w="0" w:type="dxa"/>
            <w:left w:w="108" w:type="dxa"/>
            <w:bottom w:w="0" w:type="dxa"/>
            <w:right w:w="108" w:type="dxa"/>
          </w:tblCellMar>
        </w:tblPrEx>
        <w:trPr>
          <w:trHeight w:val="31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p>
        </w:tc>
        <w:tc>
          <w:tcPr>
            <w:tcW w:w="23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5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tblPrEx>
          <w:tblCellMar>
            <w:top w:w="0" w:type="dxa"/>
            <w:left w:w="108" w:type="dxa"/>
            <w:bottom w:w="0" w:type="dxa"/>
            <w:right w:w="108" w:type="dxa"/>
          </w:tblCellMar>
        </w:tblPrEx>
        <w:trPr>
          <w:trHeight w:val="31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7</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p>
        </w:tc>
        <w:tc>
          <w:tcPr>
            <w:tcW w:w="23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5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tblPrEx>
          <w:tblCellMar>
            <w:top w:w="0" w:type="dxa"/>
            <w:left w:w="108" w:type="dxa"/>
            <w:bottom w:w="0" w:type="dxa"/>
            <w:right w:w="108" w:type="dxa"/>
          </w:tblCellMar>
        </w:tblPrEx>
        <w:trPr>
          <w:trHeight w:val="31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8</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p>
        </w:tc>
        <w:tc>
          <w:tcPr>
            <w:tcW w:w="23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5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tblPrEx>
          <w:tblCellMar>
            <w:top w:w="0" w:type="dxa"/>
            <w:left w:w="108" w:type="dxa"/>
            <w:bottom w:w="0" w:type="dxa"/>
            <w:right w:w="108" w:type="dxa"/>
          </w:tblCellMar>
        </w:tblPrEx>
        <w:trPr>
          <w:trHeight w:val="31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9</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p>
        </w:tc>
        <w:tc>
          <w:tcPr>
            <w:tcW w:w="23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5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tblPrEx>
          <w:tblCellMar>
            <w:top w:w="0" w:type="dxa"/>
            <w:left w:w="108" w:type="dxa"/>
            <w:bottom w:w="0" w:type="dxa"/>
            <w:right w:w="108" w:type="dxa"/>
          </w:tblCellMar>
        </w:tblPrEx>
        <w:trPr>
          <w:trHeight w:val="31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23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5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tblPrEx>
          <w:tblCellMar>
            <w:top w:w="0" w:type="dxa"/>
            <w:left w:w="108" w:type="dxa"/>
            <w:bottom w:w="0" w:type="dxa"/>
            <w:right w:w="108" w:type="dxa"/>
          </w:tblCellMar>
        </w:tblPrEx>
        <w:trPr>
          <w:trHeight w:val="31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23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5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tblPrEx>
          <w:tblCellMar>
            <w:top w:w="0" w:type="dxa"/>
            <w:left w:w="108" w:type="dxa"/>
            <w:bottom w:w="0" w:type="dxa"/>
            <w:right w:w="108" w:type="dxa"/>
          </w:tblCellMar>
        </w:tblPrEx>
        <w:trPr>
          <w:trHeight w:val="31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23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5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tblPrEx>
          <w:tblCellMar>
            <w:top w:w="0" w:type="dxa"/>
            <w:left w:w="108" w:type="dxa"/>
            <w:bottom w:w="0" w:type="dxa"/>
            <w:right w:w="108" w:type="dxa"/>
          </w:tblCellMar>
        </w:tblPrEx>
        <w:trPr>
          <w:trHeight w:val="31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23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58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tc>
      </w:tr>
    </w:tbl>
    <w:p>
      <w:pPr>
        <w:pStyle w:val="9"/>
        <w:rPr>
          <w:rFonts w:hint="eastAsia" w:ascii="宋体" w:hAnsi="宋体" w:eastAsia="宋体" w:cs="宋体"/>
          <w:color w:val="auto"/>
          <w:sz w:val="24"/>
        </w:rPr>
      </w:pPr>
      <w:r>
        <w:rPr>
          <w:rFonts w:hint="eastAsia" w:ascii="宋体" w:hAnsi="宋体" w:eastAsia="宋体" w:cs="宋体"/>
          <w:color w:val="auto"/>
          <w:sz w:val="24"/>
        </w:rPr>
        <w:t>备注：质量保证体系和获奖情况包括但不限于以上内容，其他可自行添加。</w:t>
      </w:r>
    </w:p>
    <w:p>
      <w:pPr>
        <w:pStyle w:val="9"/>
        <w:rPr>
          <w:rFonts w:hint="eastAsia" w:ascii="宋体" w:hAnsi="宋体" w:eastAsia="宋体" w:cs="宋体"/>
          <w:color w:val="auto"/>
          <w:sz w:val="24"/>
        </w:rPr>
      </w:pPr>
    </w:p>
    <w:p>
      <w:pPr>
        <w:rPr>
          <w:rFonts w:hint="eastAsia" w:ascii="宋体" w:hAnsi="宋体" w:eastAsia="宋体" w:cs="宋体"/>
          <w:sz w:val="24"/>
        </w:rPr>
      </w:pPr>
    </w:p>
    <w:p>
      <w:pPr>
        <w:pStyle w:val="9"/>
        <w:rPr>
          <w:rFonts w:hint="eastAsia" w:ascii="宋体" w:hAnsi="宋体" w:eastAsia="宋体" w:cs="宋体"/>
        </w:rPr>
      </w:pPr>
    </w:p>
    <w:p>
      <w:pPr>
        <w:widowControl/>
        <w:spacing w:line="360" w:lineRule="auto"/>
        <w:jc w:val="left"/>
        <w:rPr>
          <w:rFonts w:hint="eastAsia" w:ascii="宋体" w:hAnsi="宋体" w:eastAsia="宋体" w:cs="宋体"/>
          <w:sz w:val="24"/>
        </w:rPr>
      </w:pPr>
      <w:r>
        <w:rPr>
          <w:rFonts w:hint="eastAsia" w:ascii="宋体" w:hAnsi="宋体" w:eastAsia="宋体" w:cs="宋体"/>
          <w:sz w:val="24"/>
        </w:rPr>
        <w:t>附件六：</w:t>
      </w:r>
    </w:p>
    <w:p>
      <w:pPr>
        <w:spacing w:line="520" w:lineRule="exact"/>
        <w:jc w:val="center"/>
        <w:rPr>
          <w:rFonts w:hint="eastAsia" w:ascii="宋体" w:hAnsi="宋体" w:eastAsia="宋体" w:cs="宋体"/>
          <w:b/>
          <w:bCs/>
          <w:sz w:val="24"/>
        </w:rPr>
      </w:pPr>
      <w:r>
        <w:rPr>
          <w:rFonts w:hint="eastAsia" w:ascii="宋体" w:hAnsi="宋体" w:eastAsia="宋体" w:cs="宋体"/>
          <w:sz w:val="32"/>
          <w:szCs w:val="32"/>
        </w:rPr>
        <w:t>无重大违法记录的声明</w:t>
      </w:r>
    </w:p>
    <w:p>
      <w:pPr>
        <w:spacing w:line="600" w:lineRule="exact"/>
        <w:ind w:firstLine="442" w:firstLineChars="200"/>
        <w:rPr>
          <w:rFonts w:hint="eastAsia" w:ascii="宋体" w:hAnsi="宋体" w:eastAsia="宋体" w:cs="宋体"/>
          <w:sz w:val="24"/>
        </w:rPr>
      </w:pPr>
    </w:p>
    <w:p>
      <w:pPr>
        <w:spacing w:line="600" w:lineRule="exact"/>
        <w:rPr>
          <w:rFonts w:hint="eastAsia" w:ascii="宋体" w:hAnsi="宋体" w:eastAsia="宋体" w:cs="宋体"/>
          <w:sz w:val="24"/>
        </w:rPr>
      </w:pPr>
      <w:r>
        <w:rPr>
          <w:rFonts w:hint="eastAsia" w:ascii="宋体" w:hAnsi="宋体" w:eastAsia="宋体" w:cs="宋体"/>
          <w:sz w:val="24"/>
        </w:rPr>
        <w:t>济南轻骑标致摩托车有限公司:</w:t>
      </w:r>
    </w:p>
    <w:p>
      <w:pPr>
        <w:spacing w:line="600" w:lineRule="exact"/>
        <w:ind w:firstLine="442" w:firstLineChars="200"/>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          </w:t>
      </w:r>
      <w:r>
        <w:rPr>
          <w:rFonts w:hint="eastAsia" w:ascii="宋体" w:hAnsi="宋体" w:eastAsia="宋体" w:cs="宋体"/>
          <w:sz w:val="24"/>
        </w:rPr>
        <w:t>(公司名称)现郑重声明，自</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日起至今近三年内，我公司在经营活动中无以下重大违法事项:</w:t>
      </w:r>
    </w:p>
    <w:p>
      <w:pPr>
        <w:numPr>
          <w:ilvl w:val="0"/>
          <w:numId w:val="3"/>
        </w:numPr>
        <w:spacing w:line="600" w:lineRule="exact"/>
        <w:rPr>
          <w:rFonts w:hint="eastAsia" w:ascii="宋体" w:hAnsi="宋体" w:eastAsia="宋体" w:cs="宋体"/>
          <w:sz w:val="24"/>
        </w:rPr>
      </w:pPr>
      <w:r>
        <w:rPr>
          <w:rFonts w:hint="eastAsia" w:ascii="宋体" w:hAnsi="宋体" w:eastAsia="宋体" w:cs="宋体"/>
          <w:sz w:val="24"/>
        </w:rPr>
        <w:t>因违法经营受到刑事处罚或者责令停产停业的:</w:t>
      </w:r>
    </w:p>
    <w:p>
      <w:pPr>
        <w:numPr>
          <w:ilvl w:val="0"/>
          <w:numId w:val="3"/>
        </w:numPr>
        <w:spacing w:line="600" w:lineRule="exact"/>
        <w:rPr>
          <w:rFonts w:hint="eastAsia" w:ascii="宋体" w:hAnsi="宋体" w:eastAsia="宋体" w:cs="宋体"/>
          <w:sz w:val="24"/>
        </w:rPr>
      </w:pPr>
      <w:r>
        <w:rPr>
          <w:rFonts w:hint="eastAsia" w:ascii="宋体" w:hAnsi="宋体" w:eastAsia="宋体" w:cs="宋体"/>
          <w:sz w:val="24"/>
        </w:rPr>
        <w:t>吊销许可证或者执照的:</w:t>
      </w:r>
    </w:p>
    <w:p>
      <w:pPr>
        <w:numPr>
          <w:ilvl w:val="0"/>
          <w:numId w:val="3"/>
        </w:numPr>
        <w:spacing w:line="600" w:lineRule="exact"/>
        <w:rPr>
          <w:rFonts w:hint="eastAsia" w:ascii="宋体" w:hAnsi="宋体" w:eastAsia="宋体" w:cs="宋体"/>
          <w:sz w:val="24"/>
        </w:rPr>
      </w:pPr>
      <w:r>
        <w:rPr>
          <w:rFonts w:hint="eastAsia" w:ascii="宋体" w:hAnsi="宋体" w:eastAsia="宋体" w:cs="宋体"/>
          <w:sz w:val="24"/>
        </w:rPr>
        <w:t>2000元及以上数额罚款等行政处罚;</w:t>
      </w:r>
    </w:p>
    <w:p>
      <w:pPr>
        <w:spacing w:line="600" w:lineRule="exact"/>
        <w:ind w:firstLine="442" w:firstLineChars="200"/>
        <w:rPr>
          <w:rFonts w:hint="eastAsia" w:ascii="宋体" w:hAnsi="宋体" w:eastAsia="宋体" w:cs="宋体"/>
          <w:sz w:val="24"/>
        </w:rPr>
      </w:pPr>
      <w:r>
        <w:rPr>
          <w:rFonts w:hint="eastAsia" w:ascii="宋体" w:hAnsi="宋体" w:eastAsia="宋体" w:cs="宋体"/>
          <w:sz w:val="24"/>
        </w:rPr>
        <w:t>如有瞒报、虚报，投标人自行承担因此产生的所有法律责任。</w:t>
      </w:r>
    </w:p>
    <w:p>
      <w:pPr>
        <w:spacing w:line="600" w:lineRule="exact"/>
        <w:ind w:firstLine="442" w:firstLineChars="200"/>
        <w:rPr>
          <w:rFonts w:hint="eastAsia" w:ascii="宋体" w:hAnsi="宋体" w:eastAsia="宋体" w:cs="宋体"/>
          <w:sz w:val="24"/>
        </w:rPr>
      </w:pPr>
      <w:r>
        <w:rPr>
          <w:rFonts w:hint="eastAsia" w:ascii="宋体" w:hAnsi="宋体" w:eastAsia="宋体" w:cs="宋体"/>
          <w:sz w:val="24"/>
        </w:rPr>
        <w:t>以上，特此声明!</w:t>
      </w:r>
    </w:p>
    <w:p>
      <w:pPr>
        <w:spacing w:line="600" w:lineRule="exact"/>
        <w:ind w:firstLine="442" w:firstLineChars="200"/>
        <w:rPr>
          <w:rFonts w:hint="eastAsia" w:ascii="宋体" w:hAnsi="宋体" w:eastAsia="宋体" w:cs="宋体"/>
          <w:sz w:val="24"/>
        </w:rPr>
      </w:pPr>
    </w:p>
    <w:p>
      <w:pPr>
        <w:spacing w:line="600" w:lineRule="exact"/>
        <w:ind w:right="1547" w:firstLine="442" w:firstLineChars="200"/>
        <w:jc w:val="right"/>
        <w:rPr>
          <w:rFonts w:hint="eastAsia" w:ascii="宋体" w:hAnsi="宋体" w:eastAsia="宋体" w:cs="宋体"/>
          <w:sz w:val="24"/>
        </w:rPr>
      </w:pPr>
      <w:r>
        <w:rPr>
          <w:rFonts w:hint="eastAsia" w:ascii="宋体" w:hAnsi="宋体" w:eastAsia="宋体" w:cs="宋体"/>
          <w:sz w:val="24"/>
        </w:rPr>
        <w:t>投标单位全称:(盖章)</w:t>
      </w:r>
    </w:p>
    <w:p>
      <w:pPr>
        <w:spacing w:line="600" w:lineRule="exact"/>
        <w:ind w:right="1768" w:firstLine="442" w:firstLineChars="200"/>
        <w:jc w:val="right"/>
        <w:rPr>
          <w:rFonts w:hint="eastAsia" w:ascii="宋体" w:hAnsi="宋体" w:eastAsia="宋体" w:cs="宋体"/>
          <w:sz w:val="24"/>
        </w:rPr>
      </w:pPr>
      <w:r>
        <w:rPr>
          <w:rFonts w:hint="eastAsia" w:ascii="宋体" w:hAnsi="宋体" w:eastAsia="宋体" w:cs="宋体"/>
          <w:sz w:val="24"/>
        </w:rPr>
        <w:t>法定代表人:(签字)</w:t>
      </w:r>
    </w:p>
    <w:p>
      <w:pPr>
        <w:spacing w:line="360" w:lineRule="auto"/>
        <w:ind w:firstLine="5967" w:firstLineChars="2700"/>
        <w:rPr>
          <w:rFonts w:hint="eastAsia" w:ascii="宋体" w:hAnsi="宋体" w:eastAsia="宋体" w:cs="宋体"/>
          <w:sz w:val="24"/>
        </w:rPr>
      </w:pPr>
      <w:r>
        <w:rPr>
          <w:rFonts w:hint="eastAsia" w:ascii="宋体" w:hAnsi="宋体" w:eastAsia="宋体" w:cs="宋体"/>
          <w:sz w:val="24"/>
        </w:rPr>
        <w:t>年  月   日</w:t>
      </w:r>
    </w:p>
    <w:p>
      <w:pPr>
        <w:pStyle w:val="9"/>
        <w:rPr>
          <w:rFonts w:hint="eastAsia" w:ascii="宋体" w:hAnsi="宋体" w:eastAsia="宋体" w:cs="宋体"/>
          <w:sz w:val="24"/>
        </w:rPr>
      </w:pPr>
    </w:p>
    <w:p>
      <w:pPr>
        <w:pStyle w:val="13"/>
        <w:ind w:left="1145" w:firstLine="442"/>
        <w:rPr>
          <w:rFonts w:hint="eastAsia" w:ascii="宋体" w:hAnsi="宋体" w:eastAsia="宋体" w:cs="宋体"/>
          <w:sz w:val="24"/>
          <w:szCs w:val="24"/>
        </w:rPr>
      </w:pPr>
    </w:p>
    <w:p>
      <w:pPr>
        <w:rPr>
          <w:rFonts w:hint="eastAsia" w:ascii="宋体" w:hAnsi="宋体" w:eastAsia="宋体" w:cs="宋体"/>
          <w:sz w:val="24"/>
        </w:rPr>
      </w:pPr>
    </w:p>
    <w:p>
      <w:pPr>
        <w:pStyle w:val="9"/>
        <w:rPr>
          <w:rFonts w:hint="eastAsia" w:ascii="宋体" w:hAnsi="宋体" w:eastAsia="宋体" w:cs="宋体"/>
          <w:sz w:val="24"/>
        </w:rPr>
      </w:pPr>
    </w:p>
    <w:p>
      <w:pPr>
        <w:pStyle w:val="13"/>
        <w:ind w:left="1145" w:firstLine="442"/>
        <w:rPr>
          <w:rFonts w:hint="eastAsia" w:ascii="宋体" w:hAnsi="宋体" w:eastAsia="宋体" w:cs="宋体"/>
          <w:sz w:val="24"/>
          <w:szCs w:val="24"/>
        </w:rPr>
      </w:pPr>
    </w:p>
    <w:p>
      <w:pPr>
        <w:rPr>
          <w:rFonts w:hint="eastAsia" w:ascii="宋体" w:hAnsi="宋体" w:eastAsia="宋体" w:cs="宋体"/>
          <w:sz w:val="24"/>
        </w:rPr>
      </w:pPr>
    </w:p>
    <w:p>
      <w:pPr>
        <w:spacing w:line="520" w:lineRule="exact"/>
        <w:rPr>
          <w:rFonts w:hint="eastAsia" w:ascii="宋体" w:hAnsi="宋体" w:eastAsia="宋体" w:cs="宋体"/>
          <w:sz w:val="24"/>
        </w:rPr>
      </w:pPr>
    </w:p>
    <w:p>
      <w:pPr>
        <w:spacing w:line="520" w:lineRule="exact"/>
        <w:rPr>
          <w:rFonts w:hint="eastAsia" w:ascii="宋体" w:hAnsi="宋体" w:eastAsia="宋体" w:cs="宋体"/>
          <w:sz w:val="24"/>
        </w:rPr>
      </w:pPr>
      <w:r>
        <w:rPr>
          <w:rFonts w:hint="eastAsia" w:ascii="宋体" w:hAnsi="宋体" w:eastAsia="宋体" w:cs="宋体"/>
          <w:sz w:val="24"/>
        </w:rPr>
        <w:t>附件七：</w:t>
      </w:r>
    </w:p>
    <w:p>
      <w:pPr>
        <w:spacing w:line="520" w:lineRule="exact"/>
        <w:jc w:val="center"/>
        <w:rPr>
          <w:rFonts w:hint="eastAsia" w:ascii="宋体" w:hAnsi="宋体" w:eastAsia="宋体" w:cs="宋体"/>
          <w:bCs/>
          <w:sz w:val="32"/>
          <w:szCs w:val="32"/>
        </w:rPr>
      </w:pPr>
      <w:r>
        <w:rPr>
          <w:rFonts w:hint="eastAsia" w:ascii="宋体" w:hAnsi="宋体" w:eastAsia="宋体" w:cs="宋体"/>
          <w:bCs/>
          <w:sz w:val="32"/>
          <w:szCs w:val="32"/>
        </w:rPr>
        <w:t>阳光业务告知书</w:t>
      </w:r>
    </w:p>
    <w:p>
      <w:pPr>
        <w:spacing w:line="400" w:lineRule="exact"/>
        <w:rPr>
          <w:rFonts w:hint="eastAsia" w:ascii="宋体" w:hAnsi="宋体" w:eastAsia="宋体" w:cs="宋体"/>
          <w:szCs w:val="21"/>
        </w:rPr>
      </w:pPr>
    </w:p>
    <w:p>
      <w:pPr>
        <w:spacing w:line="440" w:lineRule="exact"/>
        <w:rPr>
          <w:rFonts w:hint="eastAsia" w:ascii="宋体" w:hAnsi="宋体" w:eastAsia="宋体" w:cs="宋体"/>
          <w:sz w:val="24"/>
        </w:rPr>
      </w:pPr>
      <w:r>
        <w:rPr>
          <w:rFonts w:hint="eastAsia" w:ascii="宋体" w:hAnsi="宋体" w:eastAsia="宋体" w:cs="宋体"/>
          <w:sz w:val="24"/>
          <w:lang w:eastAsia="zh-CN"/>
        </w:rPr>
        <w:t>济南轻骑标致摩托车有限公司职工食堂配餐服务招标项目</w:t>
      </w:r>
      <w:r>
        <w:rPr>
          <w:rFonts w:hint="eastAsia" w:ascii="宋体" w:hAnsi="宋体" w:eastAsia="宋体" w:cs="宋体"/>
          <w:sz w:val="24"/>
          <w:lang w:val="en-US" w:eastAsia="zh-CN"/>
        </w:rPr>
        <w:t>的各投标企业</w:t>
      </w:r>
      <w:r>
        <w:rPr>
          <w:rFonts w:hint="eastAsia" w:ascii="宋体" w:hAnsi="宋体" w:eastAsia="宋体" w:cs="宋体"/>
          <w:sz w:val="24"/>
        </w:rPr>
        <w:t>：</w:t>
      </w:r>
    </w:p>
    <w:p>
      <w:pPr>
        <w:spacing w:line="440" w:lineRule="exact"/>
        <w:rPr>
          <w:rFonts w:hint="eastAsia" w:ascii="宋体" w:hAnsi="宋体" w:eastAsia="宋体" w:cs="宋体"/>
          <w:sz w:val="24"/>
        </w:rPr>
      </w:pPr>
      <w:r>
        <w:rPr>
          <w:rFonts w:hint="eastAsia" w:ascii="宋体" w:hAnsi="宋体" w:eastAsia="宋体" w:cs="宋体"/>
          <w:sz w:val="24"/>
        </w:rPr>
        <w:t xml:space="preserve">     为建立公平、透明的工作平台，防止存在商业贿赂或腐败行为，维护供需双方的合法权益，确保业务阳光操作，使供需双方关注于做好业务本身，根据中华人民共和国有关法律法规，在我方选型及后续合作期间，就阳光业务等事宜告知如下：</w:t>
      </w:r>
    </w:p>
    <w:p>
      <w:pPr>
        <w:spacing w:line="440" w:lineRule="exact"/>
        <w:ind w:firstLine="597" w:firstLineChars="270"/>
        <w:rPr>
          <w:rFonts w:hint="eastAsia" w:ascii="宋体" w:hAnsi="宋体" w:eastAsia="宋体" w:cs="宋体"/>
          <w:sz w:val="24"/>
        </w:rPr>
      </w:pPr>
      <w:r>
        <w:rPr>
          <w:rFonts w:hint="eastAsia" w:ascii="宋体" w:hAnsi="宋体" w:eastAsia="宋体" w:cs="宋体"/>
          <w:sz w:val="24"/>
        </w:rPr>
        <w:t>一、任何形式的收、受贿赂都是触犯法律的行为，将被追究刑事责任；供方在我方选型及后续合作期间应严格遵守中华人民共和国反贪污反贿赂的各项法律规定。</w:t>
      </w:r>
    </w:p>
    <w:p>
      <w:pPr>
        <w:spacing w:line="440" w:lineRule="exact"/>
        <w:ind w:firstLine="597" w:firstLineChars="270"/>
        <w:rPr>
          <w:rFonts w:hint="eastAsia" w:ascii="宋体" w:hAnsi="宋体" w:eastAsia="宋体" w:cs="宋体"/>
          <w:sz w:val="24"/>
        </w:rPr>
      </w:pPr>
      <w:r>
        <w:rPr>
          <w:rFonts w:hint="eastAsia" w:ascii="宋体" w:hAnsi="宋体" w:eastAsia="宋体" w:cs="宋体"/>
          <w:sz w:val="24"/>
        </w:rPr>
        <w:t>二、不得从事下列行为或承诺：</w:t>
      </w:r>
    </w:p>
    <w:p>
      <w:pPr>
        <w:spacing w:line="440" w:lineRule="exact"/>
        <w:ind w:firstLine="597" w:firstLineChars="270"/>
        <w:rPr>
          <w:rFonts w:hint="eastAsia" w:ascii="宋体" w:hAnsi="宋体" w:eastAsia="宋体" w:cs="宋体"/>
          <w:sz w:val="24"/>
        </w:rPr>
      </w:pPr>
      <w:r>
        <w:rPr>
          <w:rFonts w:hint="eastAsia" w:ascii="宋体" w:hAnsi="宋体" w:eastAsia="宋体" w:cs="宋体"/>
          <w:sz w:val="24"/>
        </w:rPr>
        <w:t>1. 给予我方相关人员财物，包括不限于现金、银行卡、有价证券、购物卡、娱乐场所会员卡、打折卡、活动抽奖；</w:t>
      </w:r>
    </w:p>
    <w:p>
      <w:pPr>
        <w:spacing w:line="440" w:lineRule="exact"/>
        <w:ind w:firstLine="597" w:firstLineChars="270"/>
        <w:rPr>
          <w:rFonts w:hint="eastAsia" w:ascii="宋体" w:hAnsi="宋体" w:eastAsia="宋体" w:cs="宋体"/>
          <w:sz w:val="24"/>
        </w:rPr>
      </w:pPr>
      <w:r>
        <w:rPr>
          <w:rFonts w:hint="eastAsia" w:ascii="宋体" w:hAnsi="宋体" w:eastAsia="宋体" w:cs="宋体"/>
          <w:sz w:val="24"/>
        </w:rPr>
        <w:t>2. 给予我方相关人员各种高档生活用品、奢侈消费品、工艺品、收藏品等实物；</w:t>
      </w:r>
    </w:p>
    <w:p>
      <w:pPr>
        <w:spacing w:line="440" w:lineRule="exact"/>
        <w:ind w:firstLine="597" w:firstLineChars="270"/>
        <w:rPr>
          <w:rFonts w:hint="eastAsia" w:ascii="宋体" w:hAnsi="宋体" w:eastAsia="宋体" w:cs="宋体"/>
          <w:sz w:val="24"/>
        </w:rPr>
      </w:pPr>
      <w:r>
        <w:rPr>
          <w:rFonts w:hint="eastAsia" w:ascii="宋体" w:hAnsi="宋体" w:eastAsia="宋体" w:cs="宋体"/>
          <w:sz w:val="24"/>
        </w:rPr>
        <w:t>3. 给予我方相关人员包括不限于回扣、宴请、娱乐消费、旅游、考察等。</w:t>
      </w:r>
    </w:p>
    <w:p>
      <w:pPr>
        <w:spacing w:line="440" w:lineRule="exact"/>
        <w:ind w:firstLine="597" w:firstLineChars="270"/>
        <w:rPr>
          <w:rFonts w:hint="eastAsia" w:ascii="宋体" w:hAnsi="宋体" w:eastAsia="宋体" w:cs="宋体"/>
          <w:sz w:val="24"/>
        </w:rPr>
      </w:pPr>
      <w:r>
        <w:rPr>
          <w:rFonts w:hint="eastAsia" w:ascii="宋体" w:hAnsi="宋体" w:eastAsia="宋体" w:cs="宋体"/>
          <w:sz w:val="24"/>
        </w:rPr>
        <w:t>三、如发现供方有上述违规行为，则视为其自动弃权；</w:t>
      </w:r>
    </w:p>
    <w:p>
      <w:pPr>
        <w:spacing w:line="440" w:lineRule="exact"/>
        <w:ind w:firstLine="597" w:firstLineChars="270"/>
        <w:rPr>
          <w:rFonts w:hint="eastAsia" w:ascii="宋体" w:hAnsi="宋体" w:eastAsia="宋体" w:cs="宋体"/>
          <w:sz w:val="24"/>
        </w:rPr>
      </w:pPr>
      <w:r>
        <w:rPr>
          <w:rFonts w:hint="eastAsia" w:ascii="宋体" w:hAnsi="宋体" w:eastAsia="宋体" w:cs="宋体"/>
          <w:sz w:val="24"/>
        </w:rPr>
        <w:t>四、如因此造成我方项目延期、搁置，我方有权向你方追偿。</w:t>
      </w:r>
    </w:p>
    <w:p>
      <w:pPr>
        <w:spacing w:line="440" w:lineRule="exact"/>
        <w:ind w:firstLine="597" w:firstLineChars="270"/>
        <w:rPr>
          <w:rFonts w:hint="eastAsia" w:ascii="宋体" w:hAnsi="宋体" w:eastAsia="宋体" w:cs="宋体"/>
          <w:sz w:val="24"/>
        </w:rPr>
      </w:pPr>
      <w:r>
        <w:rPr>
          <w:rFonts w:hint="eastAsia" w:ascii="宋体" w:hAnsi="宋体" w:eastAsia="宋体" w:cs="宋体"/>
          <w:sz w:val="24"/>
        </w:rPr>
        <w:t>五、如发现我方员工或代表有索贿行为，可向公司或国家有关部门举报。</w:t>
      </w:r>
    </w:p>
    <w:p>
      <w:pPr>
        <w:spacing w:line="440" w:lineRule="exact"/>
        <w:ind w:firstLine="597" w:firstLineChars="270"/>
        <w:rPr>
          <w:rFonts w:hint="eastAsia" w:ascii="宋体" w:hAnsi="宋体" w:eastAsia="宋体" w:cs="宋体"/>
          <w:sz w:val="24"/>
        </w:rPr>
      </w:pPr>
      <w:r>
        <w:rPr>
          <w:rFonts w:hint="eastAsia" w:ascii="宋体" w:hAnsi="宋体" w:eastAsia="宋体" w:cs="宋体"/>
          <w:sz w:val="24"/>
        </w:rPr>
        <w:t>以上，特此告知。</w:t>
      </w:r>
    </w:p>
    <w:p>
      <w:pPr>
        <w:spacing w:line="440" w:lineRule="exact"/>
        <w:jc w:val="right"/>
        <w:rPr>
          <w:rFonts w:hint="eastAsia" w:ascii="宋体" w:hAnsi="宋体" w:eastAsia="宋体" w:cs="宋体"/>
          <w:sz w:val="24"/>
        </w:rPr>
      </w:pPr>
      <w:r>
        <w:rPr>
          <w:rFonts w:hint="eastAsia" w:ascii="宋体" w:hAnsi="宋体" w:eastAsia="宋体" w:cs="宋体"/>
          <w:sz w:val="24"/>
        </w:rPr>
        <w:t>济南轻骑标致摩托车有限公司</w:t>
      </w:r>
    </w:p>
    <w:p>
      <w:pPr>
        <w:wordWrap w:val="0"/>
        <w:spacing w:line="440" w:lineRule="exact"/>
        <w:jc w:val="right"/>
        <w:rPr>
          <w:rFonts w:hint="eastAsia" w:ascii="宋体" w:hAnsi="宋体" w:eastAsia="宋体" w:cs="宋体"/>
          <w:sz w:val="24"/>
        </w:rPr>
      </w:pPr>
      <w:r>
        <w:rPr>
          <w:rFonts w:hint="eastAsia" w:ascii="宋体" w:hAnsi="宋体" w:eastAsia="宋体" w:cs="宋体"/>
          <w:sz w:val="24"/>
        </w:rPr>
        <w:t xml:space="preserve">2023 -   -  </w:t>
      </w:r>
    </w:p>
    <w:p>
      <w:pPr>
        <w:spacing w:line="520" w:lineRule="exact"/>
        <w:jc w:val="left"/>
        <w:rPr>
          <w:rFonts w:hint="eastAsia" w:ascii="宋体" w:hAnsi="宋体" w:eastAsia="宋体" w:cs="宋体"/>
          <w:sz w:val="24"/>
        </w:rPr>
      </w:pPr>
      <w:r>
        <w:rPr>
          <w:rFonts w:hint="eastAsia" w:ascii="宋体" w:hAnsi="宋体" w:eastAsia="宋体" w:cs="宋体"/>
          <w:sz w:val="24"/>
        </w:rPr>
        <w:t>---------------------------------------------------------------------------------</w:t>
      </w:r>
    </w:p>
    <w:p>
      <w:pPr>
        <w:spacing w:line="520" w:lineRule="exact"/>
        <w:jc w:val="center"/>
        <w:rPr>
          <w:rFonts w:hint="eastAsia" w:ascii="宋体" w:hAnsi="宋体" w:eastAsia="宋体" w:cs="宋体"/>
          <w:sz w:val="24"/>
        </w:rPr>
      </w:pPr>
      <w:r>
        <w:rPr>
          <w:rFonts w:hint="eastAsia" w:ascii="宋体" w:hAnsi="宋体" w:eastAsia="宋体" w:cs="宋体"/>
          <w:sz w:val="24"/>
        </w:rPr>
        <w:t>回      执</w:t>
      </w:r>
    </w:p>
    <w:p>
      <w:pPr>
        <w:spacing w:line="440" w:lineRule="exact"/>
        <w:jc w:val="left"/>
        <w:rPr>
          <w:rFonts w:hint="eastAsia" w:ascii="宋体" w:hAnsi="宋体" w:eastAsia="宋体" w:cs="宋体"/>
          <w:sz w:val="24"/>
        </w:rPr>
      </w:pPr>
      <w:r>
        <w:rPr>
          <w:rFonts w:hint="eastAsia" w:ascii="宋体" w:hAnsi="宋体" w:eastAsia="宋体" w:cs="宋体"/>
          <w:sz w:val="24"/>
        </w:rPr>
        <w:t xml:space="preserve">    贵司《阳光业务告知书》已收悉，我方承诺严格遵守《阳光业务告知书》的相关内容。</w:t>
      </w:r>
    </w:p>
    <w:p>
      <w:pPr>
        <w:pStyle w:val="9"/>
        <w:rPr>
          <w:rFonts w:hint="eastAsia" w:ascii="宋体" w:hAnsi="宋体" w:eastAsia="宋体" w:cs="宋体"/>
          <w:sz w:val="24"/>
        </w:rPr>
      </w:pPr>
      <w:r>
        <w:rPr>
          <w:rFonts w:hint="eastAsia" w:ascii="宋体" w:hAnsi="宋体" w:eastAsia="宋体" w:cs="宋体"/>
          <w:sz w:val="24"/>
        </w:rPr>
        <w:t xml:space="preserve">          投标人公司（盖章）：</w:t>
      </w:r>
    </w:p>
    <w:p>
      <w:pPr>
        <w:rPr>
          <w:rFonts w:hint="eastAsia" w:ascii="宋体" w:hAnsi="宋体" w:eastAsia="宋体" w:cs="宋体"/>
          <w:sz w:val="24"/>
        </w:rPr>
      </w:pPr>
      <w:r>
        <w:rPr>
          <w:rFonts w:hint="eastAsia" w:ascii="宋体" w:hAnsi="宋体" w:eastAsia="宋体" w:cs="宋体"/>
          <w:sz w:val="24"/>
        </w:rPr>
        <w:br w:type="page"/>
      </w:r>
    </w:p>
    <w:p>
      <w:pPr>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附件八：</w:t>
      </w:r>
    </w:p>
    <w:p>
      <w:pPr>
        <w:jc w:val="center"/>
        <w:rPr>
          <w:rFonts w:hint="eastAsia" w:ascii="宋体" w:hAnsi="宋体" w:eastAsia="宋体" w:cs="宋体"/>
          <w:b/>
          <w:sz w:val="24"/>
        </w:rPr>
      </w:pPr>
      <w:r>
        <w:rPr>
          <w:rFonts w:hint="eastAsia" w:ascii="宋体" w:hAnsi="宋体" w:eastAsia="宋体" w:cs="宋体"/>
          <w:b/>
          <w:sz w:val="24"/>
        </w:rPr>
        <w:t>偏离表</w:t>
      </w:r>
    </w:p>
    <w:p>
      <w:pPr>
        <w:jc w:val="center"/>
        <w:rPr>
          <w:rFonts w:hint="eastAsia" w:ascii="宋体" w:hAnsi="宋体" w:eastAsia="宋体" w:cs="宋体"/>
          <w:b/>
          <w:sz w:val="24"/>
        </w:rPr>
      </w:pPr>
    </w:p>
    <w:p>
      <w:pPr>
        <w:spacing w:after="120"/>
        <w:rPr>
          <w:rFonts w:hint="eastAsia" w:ascii="宋体" w:hAnsi="宋体" w:eastAsia="宋体" w:cs="宋体"/>
          <w:sz w:val="24"/>
          <w:u w:val="single"/>
        </w:rPr>
      </w:pPr>
      <w:r>
        <w:rPr>
          <w:rFonts w:hint="eastAsia" w:ascii="宋体" w:hAnsi="宋体" w:eastAsia="宋体" w:cs="宋体"/>
          <w:sz w:val="24"/>
        </w:rPr>
        <w:t>投标人名称：</w:t>
      </w:r>
      <w:r>
        <w:rPr>
          <w:rFonts w:hint="eastAsia" w:ascii="宋体" w:hAnsi="宋体" w:eastAsia="宋体" w:cs="宋体"/>
          <w:sz w:val="24"/>
          <w:u w:val="single"/>
        </w:rPr>
        <w:t xml:space="preserve">                      </w:t>
      </w:r>
      <w:r>
        <w:rPr>
          <w:rFonts w:hint="eastAsia" w:ascii="宋体" w:hAnsi="宋体" w:eastAsia="宋体" w:cs="宋体"/>
          <w:sz w:val="24"/>
          <w:lang w:eastAsia="zh-CN"/>
        </w:rPr>
        <w:t>项目编号</w:t>
      </w:r>
      <w:r>
        <w:rPr>
          <w:rFonts w:hint="eastAsia" w:ascii="宋体" w:hAnsi="宋体" w:eastAsia="宋体" w:cs="宋体"/>
          <w:sz w:val="24"/>
        </w:rPr>
        <w:t>：</w:t>
      </w:r>
      <w:r>
        <w:rPr>
          <w:rFonts w:hint="eastAsia" w:ascii="宋体" w:hAnsi="宋体" w:eastAsia="宋体" w:cs="宋体"/>
          <w:sz w:val="24"/>
          <w:u w:val="single"/>
        </w:rPr>
        <w:t xml:space="preserve">                 </w:t>
      </w:r>
    </w:p>
    <w:tbl>
      <w:tblPr>
        <w:tblStyle w:val="25"/>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9"/>
        <w:gridCol w:w="1722"/>
        <w:gridCol w:w="1918"/>
        <w:gridCol w:w="2316"/>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trPr>
        <w:tc>
          <w:tcPr>
            <w:tcW w:w="769" w:type="dxa"/>
            <w:vAlign w:val="center"/>
          </w:tcPr>
          <w:p>
            <w:pPr>
              <w:spacing w:after="120"/>
              <w:jc w:val="center"/>
              <w:rPr>
                <w:rFonts w:hint="eastAsia" w:ascii="宋体" w:hAnsi="宋体" w:eastAsia="宋体" w:cs="宋体"/>
                <w:sz w:val="24"/>
              </w:rPr>
            </w:pPr>
            <w:r>
              <w:rPr>
                <w:rFonts w:hint="eastAsia" w:ascii="宋体" w:hAnsi="宋体" w:eastAsia="宋体" w:cs="宋体"/>
                <w:sz w:val="24"/>
              </w:rPr>
              <w:t>序号</w:t>
            </w:r>
          </w:p>
        </w:tc>
        <w:tc>
          <w:tcPr>
            <w:tcW w:w="1722" w:type="dxa"/>
            <w:vAlign w:val="center"/>
          </w:tcPr>
          <w:p>
            <w:pPr>
              <w:spacing w:after="120"/>
              <w:jc w:val="center"/>
              <w:rPr>
                <w:rFonts w:hint="eastAsia" w:ascii="宋体" w:hAnsi="宋体" w:eastAsia="宋体" w:cs="宋体"/>
                <w:sz w:val="24"/>
              </w:rPr>
            </w:pPr>
            <w:r>
              <w:rPr>
                <w:rFonts w:hint="eastAsia" w:ascii="宋体" w:hAnsi="宋体" w:eastAsia="宋体" w:cs="宋体"/>
                <w:sz w:val="24"/>
              </w:rPr>
              <w:t>规范书条目号</w:t>
            </w:r>
          </w:p>
        </w:tc>
        <w:tc>
          <w:tcPr>
            <w:tcW w:w="1918" w:type="dxa"/>
            <w:vAlign w:val="center"/>
          </w:tcPr>
          <w:p>
            <w:pPr>
              <w:spacing w:after="120"/>
              <w:jc w:val="center"/>
              <w:rPr>
                <w:rFonts w:hint="eastAsia" w:ascii="宋体" w:hAnsi="宋体" w:eastAsia="宋体" w:cs="宋体"/>
                <w:sz w:val="24"/>
              </w:rPr>
            </w:pPr>
            <w:r>
              <w:rPr>
                <w:rFonts w:hint="eastAsia" w:ascii="宋体" w:hAnsi="宋体" w:eastAsia="宋体" w:cs="宋体"/>
                <w:sz w:val="24"/>
              </w:rPr>
              <w:t>投标文件应答</w:t>
            </w:r>
          </w:p>
        </w:tc>
        <w:tc>
          <w:tcPr>
            <w:tcW w:w="2316" w:type="dxa"/>
            <w:vAlign w:val="center"/>
          </w:tcPr>
          <w:p>
            <w:pPr>
              <w:spacing w:after="120"/>
              <w:jc w:val="center"/>
              <w:rPr>
                <w:rFonts w:hint="eastAsia" w:ascii="宋体" w:hAnsi="宋体" w:eastAsia="宋体" w:cs="宋体"/>
                <w:sz w:val="24"/>
              </w:rPr>
            </w:pPr>
            <w:r>
              <w:rPr>
                <w:rFonts w:hint="eastAsia" w:ascii="宋体" w:hAnsi="宋体" w:eastAsia="宋体" w:cs="宋体"/>
                <w:sz w:val="24"/>
              </w:rPr>
              <w:t>修改建议</w:t>
            </w:r>
          </w:p>
        </w:tc>
        <w:tc>
          <w:tcPr>
            <w:tcW w:w="1953" w:type="dxa"/>
            <w:vAlign w:val="center"/>
          </w:tcPr>
          <w:p>
            <w:pPr>
              <w:spacing w:after="120"/>
              <w:jc w:val="center"/>
              <w:rPr>
                <w:rFonts w:hint="eastAsia" w:ascii="宋体" w:hAnsi="宋体" w:eastAsia="宋体" w:cs="宋体"/>
                <w:sz w:val="24"/>
              </w:rPr>
            </w:pPr>
            <w:r>
              <w:rPr>
                <w:rFonts w:hint="eastAsia" w:ascii="宋体" w:hAnsi="宋体" w:eastAsia="宋体" w:cs="宋体"/>
                <w:sz w:val="24"/>
              </w:rPr>
              <w:t>解释说明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trPr>
        <w:tc>
          <w:tcPr>
            <w:tcW w:w="769" w:type="dxa"/>
          </w:tcPr>
          <w:p>
            <w:pPr>
              <w:spacing w:after="120"/>
              <w:rPr>
                <w:rFonts w:hint="eastAsia" w:ascii="宋体" w:hAnsi="宋体" w:eastAsia="宋体" w:cs="宋体"/>
                <w:sz w:val="24"/>
              </w:rPr>
            </w:pPr>
          </w:p>
          <w:p>
            <w:pPr>
              <w:spacing w:after="120"/>
              <w:rPr>
                <w:rFonts w:hint="eastAsia" w:ascii="宋体" w:hAnsi="宋体" w:eastAsia="宋体" w:cs="宋体"/>
                <w:sz w:val="24"/>
              </w:rPr>
            </w:pPr>
          </w:p>
        </w:tc>
        <w:tc>
          <w:tcPr>
            <w:tcW w:w="1722" w:type="dxa"/>
            <w:tcBorders>
              <w:top w:val="single" w:color="auto" w:sz="4" w:space="0"/>
              <w:left w:val="single" w:color="auto" w:sz="4" w:space="0"/>
              <w:right w:val="single" w:color="auto" w:sz="4" w:space="0"/>
            </w:tcBorders>
          </w:tcPr>
          <w:p>
            <w:pPr>
              <w:spacing w:after="120"/>
              <w:rPr>
                <w:rFonts w:hint="eastAsia" w:ascii="宋体" w:hAnsi="宋体" w:eastAsia="宋体" w:cs="宋体"/>
                <w:sz w:val="24"/>
              </w:rPr>
            </w:pPr>
          </w:p>
        </w:tc>
        <w:tc>
          <w:tcPr>
            <w:tcW w:w="1918" w:type="dxa"/>
            <w:tcBorders>
              <w:top w:val="single" w:color="auto" w:sz="4" w:space="0"/>
              <w:left w:val="single" w:color="auto" w:sz="4" w:space="0"/>
              <w:right w:val="single" w:color="auto" w:sz="4" w:space="0"/>
            </w:tcBorders>
          </w:tcPr>
          <w:p>
            <w:pPr>
              <w:spacing w:after="120"/>
              <w:rPr>
                <w:rFonts w:hint="eastAsia" w:ascii="宋体" w:hAnsi="宋体" w:eastAsia="宋体" w:cs="宋体"/>
                <w:sz w:val="24"/>
              </w:rPr>
            </w:pPr>
          </w:p>
        </w:tc>
        <w:tc>
          <w:tcPr>
            <w:tcW w:w="2316" w:type="dxa"/>
            <w:tcBorders>
              <w:top w:val="single" w:color="auto" w:sz="4" w:space="0"/>
              <w:left w:val="single" w:color="auto" w:sz="4" w:space="0"/>
              <w:right w:val="single" w:color="auto" w:sz="4" w:space="0"/>
            </w:tcBorders>
          </w:tcPr>
          <w:p>
            <w:pPr>
              <w:spacing w:after="120"/>
              <w:rPr>
                <w:rFonts w:hint="eastAsia" w:ascii="宋体" w:hAnsi="宋体" w:eastAsia="宋体" w:cs="宋体"/>
                <w:sz w:val="24"/>
              </w:rPr>
            </w:pPr>
          </w:p>
        </w:tc>
        <w:tc>
          <w:tcPr>
            <w:tcW w:w="1953" w:type="dxa"/>
          </w:tcPr>
          <w:p>
            <w:pPr>
              <w:spacing w:after="120"/>
              <w:rPr>
                <w:rFonts w:hint="eastAsia" w:ascii="宋体" w:hAnsi="宋体" w:eastAsia="宋体" w:cs="宋体"/>
                <w:sz w:val="24"/>
              </w:rPr>
            </w:pPr>
          </w:p>
        </w:tc>
      </w:tr>
    </w:tbl>
    <w:p>
      <w:pPr>
        <w:spacing w:after="120" w:line="360" w:lineRule="auto"/>
        <w:jc w:val="left"/>
        <w:rPr>
          <w:rFonts w:hint="eastAsia" w:ascii="宋体" w:hAnsi="宋体" w:eastAsia="宋体" w:cs="宋体"/>
          <w:b/>
          <w:sz w:val="24"/>
          <w:lang w:val="en-GB"/>
        </w:rPr>
      </w:pPr>
      <w:r>
        <w:rPr>
          <w:rFonts w:hint="eastAsia" w:ascii="宋体" w:hAnsi="宋体" w:eastAsia="宋体" w:cs="宋体"/>
          <w:b/>
          <w:sz w:val="24"/>
          <w:lang w:val="en-GB"/>
        </w:rPr>
        <w:t>注：</w:t>
      </w:r>
    </w:p>
    <w:p>
      <w:pPr>
        <w:spacing w:after="120" w:line="360" w:lineRule="auto"/>
        <w:ind w:firstLine="387" w:firstLineChars="175"/>
        <w:rPr>
          <w:rFonts w:hint="eastAsia" w:ascii="宋体" w:hAnsi="宋体" w:eastAsia="宋体" w:cs="宋体"/>
          <w:b/>
          <w:bCs/>
          <w:sz w:val="24"/>
          <w:lang w:val="en-GB"/>
        </w:rPr>
      </w:pPr>
      <w:r>
        <w:rPr>
          <w:rFonts w:hint="eastAsia" w:ascii="宋体" w:hAnsi="宋体" w:eastAsia="宋体" w:cs="宋体"/>
          <w:b/>
          <w:bCs/>
          <w:sz w:val="24"/>
          <w:lang w:val="en-GB"/>
        </w:rPr>
        <w:t>1）在</w:t>
      </w:r>
      <w:r>
        <w:rPr>
          <w:rFonts w:hint="eastAsia" w:ascii="宋体" w:hAnsi="宋体" w:eastAsia="宋体" w:cs="宋体"/>
          <w:b/>
          <w:bCs/>
          <w:sz w:val="24"/>
          <w:lang w:val="en-US" w:eastAsia="zh-CN"/>
        </w:rPr>
        <w:t>该表</w:t>
      </w:r>
      <w:r>
        <w:rPr>
          <w:rFonts w:hint="eastAsia" w:ascii="宋体" w:hAnsi="宋体" w:eastAsia="宋体" w:cs="宋体"/>
          <w:b/>
          <w:bCs/>
          <w:sz w:val="24"/>
          <w:lang w:val="en-GB"/>
        </w:rPr>
        <w:t>中应答“不满足”的条款须在“修改建议”列中填写</w:t>
      </w:r>
      <w:r>
        <w:rPr>
          <w:rFonts w:hint="eastAsia" w:ascii="宋体" w:hAnsi="宋体" w:eastAsia="宋体" w:cs="宋体"/>
          <w:b/>
          <w:bCs/>
          <w:sz w:val="24"/>
          <w:lang w:val="en-GB" w:eastAsia="zh-CN"/>
        </w:rPr>
        <w:t>投标人</w:t>
      </w:r>
      <w:r>
        <w:rPr>
          <w:rFonts w:hint="eastAsia" w:ascii="宋体" w:hAnsi="宋体" w:eastAsia="宋体" w:cs="宋体"/>
          <w:b/>
          <w:bCs/>
          <w:sz w:val="24"/>
          <w:lang w:val="en-GB"/>
        </w:rPr>
        <w:t>对不满足的条款的修改建议，在“解释说明”列中填写不满足的原因，解释说明中有“详见”、“参见”的，应索引至投标文件中的具体章节和页码。若点对点应答与</w:t>
      </w:r>
      <w:r>
        <w:rPr>
          <w:rFonts w:hint="eastAsia" w:ascii="宋体" w:hAnsi="宋体" w:eastAsia="宋体" w:cs="宋体"/>
          <w:b/>
          <w:bCs/>
          <w:sz w:val="24"/>
        </w:rPr>
        <w:t>技术服务</w:t>
      </w:r>
      <w:r>
        <w:rPr>
          <w:rFonts w:hint="eastAsia" w:ascii="宋体" w:hAnsi="宋体" w:eastAsia="宋体" w:cs="宋体"/>
          <w:b/>
          <w:bCs/>
          <w:sz w:val="24"/>
          <w:lang w:val="en-GB"/>
        </w:rPr>
        <w:t>规范书偏离表不一致，以点对点应答为准。</w:t>
      </w:r>
    </w:p>
    <w:p>
      <w:pPr>
        <w:spacing w:after="120" w:line="360" w:lineRule="auto"/>
        <w:jc w:val="left"/>
        <w:rPr>
          <w:rFonts w:hint="eastAsia" w:ascii="宋体" w:hAnsi="宋体" w:eastAsia="宋体" w:cs="宋体"/>
          <w:b/>
          <w:sz w:val="24"/>
          <w:lang w:val="en-GB"/>
        </w:rPr>
      </w:pPr>
      <w:r>
        <w:rPr>
          <w:rFonts w:hint="eastAsia" w:ascii="宋体" w:hAnsi="宋体" w:eastAsia="宋体" w:cs="宋体"/>
          <w:b/>
          <w:bCs/>
          <w:sz w:val="24"/>
          <w:lang w:val="en-GB"/>
        </w:rPr>
        <w:t>2）若“技术服务规范书</w:t>
      </w:r>
      <w:r>
        <w:rPr>
          <w:rFonts w:hint="eastAsia" w:ascii="宋体" w:hAnsi="宋体" w:eastAsia="宋体" w:cs="宋体"/>
          <w:b/>
          <w:bCs/>
          <w:sz w:val="24"/>
        </w:rPr>
        <w:t>点对点应答</w:t>
      </w:r>
      <w:r>
        <w:rPr>
          <w:rFonts w:hint="eastAsia" w:ascii="宋体" w:hAnsi="宋体" w:eastAsia="宋体" w:cs="宋体"/>
          <w:b/>
          <w:bCs/>
          <w:sz w:val="24"/>
          <w:lang w:val="en-GB"/>
        </w:rPr>
        <w:t>”中应答全部满足，请在第一行填写“无偏离”。</w:t>
      </w:r>
    </w:p>
    <w:p>
      <w:pPr>
        <w:widowControl/>
        <w:spacing w:line="360" w:lineRule="auto"/>
        <w:ind w:right="420"/>
        <w:rPr>
          <w:rFonts w:hint="eastAsia" w:ascii="宋体" w:hAnsi="宋体" w:eastAsia="宋体" w:cs="宋体"/>
          <w:sz w:val="24"/>
          <w:lang w:val="en-GB"/>
        </w:rPr>
      </w:pPr>
    </w:p>
    <w:p>
      <w:pPr>
        <w:spacing w:line="600" w:lineRule="exact"/>
        <w:ind w:right="1547" w:firstLine="442" w:firstLineChars="200"/>
        <w:jc w:val="right"/>
        <w:rPr>
          <w:rFonts w:hint="eastAsia" w:ascii="宋体" w:hAnsi="宋体" w:eastAsia="宋体" w:cs="宋体"/>
          <w:sz w:val="24"/>
        </w:rPr>
      </w:pPr>
      <w:r>
        <w:rPr>
          <w:rFonts w:hint="eastAsia" w:ascii="宋体" w:hAnsi="宋体" w:eastAsia="宋体" w:cs="宋体"/>
          <w:sz w:val="24"/>
        </w:rPr>
        <w:t>投标单位全称:(盖章)</w:t>
      </w:r>
    </w:p>
    <w:p>
      <w:pPr>
        <w:spacing w:line="600" w:lineRule="exact"/>
        <w:ind w:right="1768" w:firstLine="442" w:firstLineChars="200"/>
        <w:jc w:val="right"/>
        <w:rPr>
          <w:rFonts w:hint="eastAsia" w:ascii="宋体" w:hAnsi="宋体" w:eastAsia="宋体" w:cs="宋体"/>
          <w:sz w:val="24"/>
        </w:rPr>
      </w:pPr>
      <w:r>
        <w:rPr>
          <w:rFonts w:hint="eastAsia" w:ascii="宋体" w:hAnsi="宋体" w:eastAsia="宋体" w:cs="宋体"/>
          <w:sz w:val="24"/>
        </w:rPr>
        <w:t>法定代表人:(签字)</w:t>
      </w:r>
    </w:p>
    <w:p>
      <w:pPr>
        <w:spacing w:line="360" w:lineRule="auto"/>
        <w:ind w:firstLine="5967" w:firstLineChars="2700"/>
        <w:rPr>
          <w:rFonts w:hint="eastAsia" w:ascii="宋体" w:hAnsi="宋体" w:eastAsia="宋体" w:cs="宋体"/>
          <w:sz w:val="24"/>
        </w:rPr>
      </w:pPr>
      <w:r>
        <w:rPr>
          <w:rFonts w:hint="eastAsia" w:ascii="宋体" w:hAnsi="宋体" w:eastAsia="宋体" w:cs="宋体"/>
          <w:sz w:val="24"/>
        </w:rPr>
        <w:t>年  月   日</w:t>
      </w:r>
    </w:p>
    <w:p>
      <w:pPr>
        <w:rPr>
          <w:rFonts w:hint="eastAsia" w:ascii="宋体" w:hAnsi="宋体" w:eastAsia="宋体" w:cs="宋体"/>
        </w:rPr>
      </w:pPr>
      <w:r>
        <w:rPr>
          <w:rFonts w:hint="eastAsia" w:ascii="宋体" w:hAnsi="宋体" w:eastAsia="宋体" w:cs="宋体"/>
        </w:rPr>
        <w:br w:type="page"/>
      </w:r>
    </w:p>
    <w:p>
      <w:pPr>
        <w:jc w:val="left"/>
        <w:rPr>
          <w:rFonts w:hint="default" w:ascii="宋体" w:hAnsi="宋体" w:eastAsia="宋体" w:cs="宋体"/>
          <w:b/>
          <w:bCs/>
          <w:sz w:val="24"/>
          <w:lang w:val="en-US" w:eastAsia="zh-CN"/>
        </w:rPr>
      </w:pPr>
      <w:r>
        <w:rPr>
          <w:rFonts w:hint="eastAsia" w:ascii="宋体" w:hAnsi="宋体" w:eastAsia="宋体" w:cs="宋体"/>
          <w:b/>
          <w:bCs/>
          <w:sz w:val="24"/>
          <w:lang w:val="en-US" w:eastAsia="zh-CN"/>
        </w:rPr>
        <w:t>附件九：</w:t>
      </w:r>
    </w:p>
    <w:p>
      <w:pPr>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人员配置表</w:t>
      </w:r>
    </w:p>
    <w:p>
      <w:pPr>
        <w:spacing w:after="120"/>
        <w:rPr>
          <w:rFonts w:hint="eastAsia" w:ascii="宋体" w:hAnsi="宋体" w:eastAsia="宋体" w:cs="宋体"/>
          <w:sz w:val="24"/>
          <w:u w:val="single"/>
        </w:rPr>
      </w:pPr>
      <w:r>
        <w:rPr>
          <w:rFonts w:hint="eastAsia" w:ascii="宋体" w:hAnsi="宋体" w:eastAsia="宋体" w:cs="宋体"/>
          <w:sz w:val="24"/>
        </w:rPr>
        <w:t>投标人名称：</w:t>
      </w:r>
      <w:r>
        <w:rPr>
          <w:rFonts w:hint="eastAsia" w:ascii="宋体" w:hAnsi="宋体" w:eastAsia="宋体" w:cs="宋体"/>
          <w:sz w:val="24"/>
          <w:u w:val="single"/>
        </w:rPr>
        <w:t xml:space="preserve">                      </w:t>
      </w:r>
      <w:r>
        <w:rPr>
          <w:rFonts w:hint="eastAsia" w:ascii="宋体" w:hAnsi="宋体" w:eastAsia="宋体" w:cs="宋体"/>
          <w:sz w:val="24"/>
          <w:lang w:eastAsia="zh-CN"/>
        </w:rPr>
        <w:t>项目编号</w:t>
      </w:r>
      <w:r>
        <w:rPr>
          <w:rFonts w:hint="eastAsia" w:ascii="宋体" w:hAnsi="宋体" w:eastAsia="宋体" w:cs="宋体"/>
          <w:sz w:val="24"/>
        </w:rPr>
        <w:t>：</w:t>
      </w:r>
      <w:r>
        <w:rPr>
          <w:rFonts w:hint="eastAsia" w:ascii="宋体" w:hAnsi="宋体" w:eastAsia="宋体" w:cs="宋体"/>
          <w:sz w:val="24"/>
          <w:u w:val="single"/>
        </w:rPr>
        <w:t xml:space="preserve">                 </w:t>
      </w:r>
    </w:p>
    <w:tbl>
      <w:tblPr>
        <w:tblStyle w:val="25"/>
        <w:tblW w:w="9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9"/>
        <w:gridCol w:w="1134"/>
        <w:gridCol w:w="1722"/>
        <w:gridCol w:w="1918"/>
        <w:gridCol w:w="2316"/>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trPr>
        <w:tc>
          <w:tcPr>
            <w:tcW w:w="769" w:type="dxa"/>
            <w:vAlign w:val="center"/>
          </w:tcPr>
          <w:p>
            <w:pPr>
              <w:spacing w:after="120"/>
              <w:jc w:val="center"/>
              <w:rPr>
                <w:rFonts w:hint="eastAsia" w:ascii="宋体" w:hAnsi="宋体" w:eastAsia="宋体" w:cs="宋体"/>
                <w:sz w:val="24"/>
              </w:rPr>
            </w:pPr>
            <w:r>
              <w:rPr>
                <w:rFonts w:hint="eastAsia" w:ascii="宋体" w:hAnsi="宋体" w:eastAsia="宋体" w:cs="宋体"/>
                <w:sz w:val="24"/>
              </w:rPr>
              <w:t>序号</w:t>
            </w:r>
          </w:p>
        </w:tc>
        <w:tc>
          <w:tcPr>
            <w:tcW w:w="1134" w:type="dxa"/>
            <w:vAlign w:val="center"/>
          </w:tcPr>
          <w:p>
            <w:pPr>
              <w:spacing w:after="120"/>
              <w:jc w:val="center"/>
              <w:rPr>
                <w:rFonts w:hint="eastAsia" w:ascii="宋体" w:hAnsi="宋体" w:eastAsia="宋体" w:cs="宋体"/>
                <w:sz w:val="24"/>
                <w:lang w:val="en-US" w:eastAsia="zh-CN"/>
              </w:rPr>
            </w:pPr>
            <w:r>
              <w:rPr>
                <w:rFonts w:hint="eastAsia" w:ascii="宋体" w:hAnsi="宋体" w:eastAsia="宋体" w:cs="宋体"/>
                <w:sz w:val="24"/>
              </w:rPr>
              <w:t>岗位</w:t>
            </w:r>
          </w:p>
        </w:tc>
        <w:tc>
          <w:tcPr>
            <w:tcW w:w="1722" w:type="dxa"/>
            <w:vAlign w:val="center"/>
          </w:tcPr>
          <w:p>
            <w:pPr>
              <w:spacing w:after="120"/>
              <w:jc w:val="center"/>
              <w:rPr>
                <w:rFonts w:hint="eastAsia" w:ascii="宋体" w:hAnsi="宋体" w:eastAsia="宋体" w:cs="宋体"/>
                <w:sz w:val="24"/>
                <w:lang w:eastAsia="zh-CN"/>
              </w:rPr>
            </w:pPr>
            <w:r>
              <w:rPr>
                <w:rFonts w:hint="eastAsia" w:ascii="宋体" w:hAnsi="宋体" w:eastAsia="宋体" w:cs="宋体"/>
                <w:sz w:val="24"/>
                <w:lang w:val="en-US" w:eastAsia="zh-CN"/>
              </w:rPr>
              <w:t>年龄</w:t>
            </w:r>
          </w:p>
        </w:tc>
        <w:tc>
          <w:tcPr>
            <w:tcW w:w="1918" w:type="dxa"/>
            <w:vAlign w:val="center"/>
          </w:tcPr>
          <w:p>
            <w:pPr>
              <w:spacing w:after="120"/>
              <w:jc w:val="center"/>
              <w:rPr>
                <w:rFonts w:hint="default" w:ascii="宋体" w:hAnsi="宋体" w:eastAsia="宋体" w:cs="宋体"/>
                <w:sz w:val="24"/>
                <w:lang w:val="en-US" w:eastAsia="zh-CN"/>
              </w:rPr>
            </w:pPr>
            <w:r>
              <w:rPr>
                <w:rFonts w:hint="eastAsia" w:ascii="宋体" w:hAnsi="宋体" w:eastAsia="宋体" w:cs="宋体"/>
                <w:sz w:val="24"/>
                <w:lang w:val="en-US" w:eastAsia="zh-CN"/>
              </w:rPr>
              <w:t>身份证号</w:t>
            </w:r>
          </w:p>
        </w:tc>
        <w:tc>
          <w:tcPr>
            <w:tcW w:w="2316" w:type="dxa"/>
            <w:vAlign w:val="center"/>
          </w:tcPr>
          <w:p>
            <w:pPr>
              <w:spacing w:after="120"/>
              <w:jc w:val="center"/>
              <w:rPr>
                <w:rFonts w:hint="eastAsia" w:ascii="宋体" w:hAnsi="宋体" w:eastAsia="宋体" w:cs="宋体"/>
                <w:sz w:val="24"/>
                <w:lang w:val="en-US" w:eastAsia="zh-CN"/>
              </w:rPr>
            </w:pPr>
            <w:r>
              <w:rPr>
                <w:rFonts w:hint="eastAsia" w:ascii="宋体" w:hAnsi="宋体" w:eastAsia="宋体" w:cs="宋体"/>
                <w:sz w:val="24"/>
                <w:lang w:val="en-US" w:eastAsia="zh-CN"/>
              </w:rPr>
              <w:t>证书</w:t>
            </w:r>
          </w:p>
        </w:tc>
        <w:tc>
          <w:tcPr>
            <w:tcW w:w="1953" w:type="dxa"/>
            <w:vAlign w:val="center"/>
          </w:tcPr>
          <w:p>
            <w:pPr>
              <w:spacing w:after="120"/>
              <w:jc w:val="center"/>
              <w:rPr>
                <w:rFonts w:hint="eastAsia" w:ascii="宋体" w:hAnsi="宋体" w:eastAsia="宋体" w:cs="宋体"/>
                <w:sz w:val="24"/>
                <w:lang w:val="en-US" w:eastAsia="zh-CN"/>
              </w:rPr>
            </w:pPr>
            <w:r>
              <w:rPr>
                <w:rFonts w:hint="eastAsia" w:ascii="宋体" w:hAnsi="宋体" w:eastAsia="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trPr>
        <w:tc>
          <w:tcPr>
            <w:tcW w:w="769" w:type="dxa"/>
          </w:tcPr>
          <w:p>
            <w:pPr>
              <w:spacing w:after="120"/>
              <w:jc w:val="center"/>
              <w:rPr>
                <w:rFonts w:hint="eastAsia" w:ascii="宋体" w:hAnsi="宋体" w:eastAsia="宋体" w:cs="宋体"/>
                <w:sz w:val="24"/>
              </w:rPr>
            </w:pPr>
          </w:p>
          <w:p>
            <w:pPr>
              <w:spacing w:after="120"/>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jc w:val="center"/>
              <w:rPr>
                <w:rFonts w:hint="eastAsia" w:ascii="宋体" w:hAnsi="宋体" w:eastAsia="宋体" w:cs="宋体"/>
                <w:sz w:val="24"/>
                <w:lang w:val="en-US" w:eastAsia="zh-CN"/>
              </w:rPr>
            </w:pPr>
            <w:r>
              <w:rPr>
                <w:rFonts w:hint="eastAsia" w:ascii="宋体" w:hAnsi="宋体" w:eastAsia="宋体" w:cs="宋体"/>
                <w:sz w:val="24"/>
              </w:rPr>
              <w:t>项目经理</w:t>
            </w:r>
          </w:p>
        </w:tc>
        <w:tc>
          <w:tcPr>
            <w:tcW w:w="1722" w:type="dxa"/>
            <w:tcBorders>
              <w:top w:val="single" w:color="auto" w:sz="4" w:space="0"/>
              <w:left w:val="single" w:color="auto" w:sz="4" w:space="0"/>
              <w:bottom w:val="single" w:color="auto" w:sz="4" w:space="0"/>
              <w:right w:val="single" w:color="auto" w:sz="4" w:space="0"/>
            </w:tcBorders>
          </w:tcPr>
          <w:p>
            <w:pPr>
              <w:spacing w:after="120"/>
              <w:jc w:val="center"/>
              <w:rPr>
                <w:rFonts w:hint="eastAsia" w:ascii="宋体" w:hAnsi="宋体" w:eastAsia="宋体" w:cs="宋体"/>
                <w:sz w:val="24"/>
              </w:rPr>
            </w:pPr>
          </w:p>
        </w:tc>
        <w:tc>
          <w:tcPr>
            <w:tcW w:w="1918" w:type="dxa"/>
            <w:tcBorders>
              <w:top w:val="single" w:color="auto" w:sz="4" w:space="0"/>
              <w:left w:val="single" w:color="auto" w:sz="4" w:space="0"/>
              <w:bottom w:val="single" w:color="auto" w:sz="4" w:space="0"/>
              <w:right w:val="single" w:color="auto" w:sz="4" w:space="0"/>
            </w:tcBorders>
          </w:tcPr>
          <w:p>
            <w:pPr>
              <w:spacing w:after="120"/>
              <w:jc w:val="center"/>
              <w:rPr>
                <w:rFonts w:hint="eastAsia" w:ascii="宋体" w:hAnsi="宋体" w:eastAsia="宋体" w:cs="宋体"/>
                <w:sz w:val="24"/>
              </w:rPr>
            </w:pPr>
          </w:p>
        </w:tc>
        <w:tc>
          <w:tcPr>
            <w:tcW w:w="2316" w:type="dxa"/>
            <w:tcBorders>
              <w:top w:val="single" w:color="auto" w:sz="4" w:space="0"/>
              <w:left w:val="single" w:color="auto" w:sz="4" w:space="0"/>
              <w:bottom w:val="single" w:color="auto" w:sz="4" w:space="0"/>
              <w:right w:val="single" w:color="auto" w:sz="4" w:space="0"/>
            </w:tcBorders>
          </w:tcPr>
          <w:p>
            <w:pPr>
              <w:spacing w:after="120"/>
              <w:jc w:val="center"/>
              <w:rPr>
                <w:rFonts w:hint="eastAsia" w:ascii="宋体" w:hAnsi="宋体" w:eastAsia="宋体" w:cs="宋体"/>
                <w:sz w:val="24"/>
              </w:rPr>
            </w:pPr>
          </w:p>
        </w:tc>
        <w:tc>
          <w:tcPr>
            <w:tcW w:w="1953" w:type="dxa"/>
          </w:tcPr>
          <w:p>
            <w:pPr>
              <w:spacing w:after="1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trPr>
        <w:tc>
          <w:tcPr>
            <w:tcW w:w="769" w:type="dxa"/>
          </w:tcPr>
          <w:p>
            <w:pPr>
              <w:spacing w:after="120"/>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jc w:val="center"/>
              <w:rPr>
                <w:rFonts w:hint="eastAsia" w:ascii="宋体" w:hAnsi="宋体" w:eastAsia="宋体" w:cs="宋体"/>
                <w:sz w:val="24"/>
                <w:lang w:val="en-US" w:eastAsia="zh-CN"/>
              </w:rPr>
            </w:pPr>
            <w:r>
              <w:rPr>
                <w:rFonts w:hint="eastAsia" w:ascii="宋体" w:hAnsi="宋体" w:eastAsia="宋体" w:cs="宋体"/>
                <w:sz w:val="24"/>
              </w:rPr>
              <w:t>厨师长</w:t>
            </w:r>
          </w:p>
        </w:tc>
        <w:tc>
          <w:tcPr>
            <w:tcW w:w="1722" w:type="dxa"/>
            <w:tcBorders>
              <w:top w:val="single" w:color="auto" w:sz="4" w:space="0"/>
              <w:left w:val="single" w:color="auto" w:sz="4" w:space="0"/>
              <w:bottom w:val="single" w:color="auto" w:sz="4" w:space="0"/>
              <w:right w:val="single" w:color="auto" w:sz="4" w:space="0"/>
            </w:tcBorders>
          </w:tcPr>
          <w:p>
            <w:pPr>
              <w:spacing w:after="120"/>
              <w:jc w:val="center"/>
              <w:rPr>
                <w:rFonts w:hint="eastAsia" w:ascii="宋体" w:hAnsi="宋体" w:eastAsia="宋体" w:cs="宋体"/>
                <w:sz w:val="24"/>
              </w:rPr>
            </w:pPr>
          </w:p>
        </w:tc>
        <w:tc>
          <w:tcPr>
            <w:tcW w:w="1918" w:type="dxa"/>
            <w:tcBorders>
              <w:top w:val="single" w:color="auto" w:sz="4" w:space="0"/>
              <w:left w:val="single" w:color="auto" w:sz="4" w:space="0"/>
              <w:bottom w:val="single" w:color="auto" w:sz="4" w:space="0"/>
              <w:right w:val="single" w:color="auto" w:sz="4" w:space="0"/>
            </w:tcBorders>
          </w:tcPr>
          <w:p>
            <w:pPr>
              <w:spacing w:after="120"/>
              <w:jc w:val="center"/>
              <w:rPr>
                <w:rFonts w:hint="eastAsia" w:ascii="宋体" w:hAnsi="宋体" w:eastAsia="宋体" w:cs="宋体"/>
                <w:sz w:val="24"/>
              </w:rPr>
            </w:pPr>
          </w:p>
        </w:tc>
        <w:tc>
          <w:tcPr>
            <w:tcW w:w="2316" w:type="dxa"/>
            <w:tcBorders>
              <w:top w:val="single" w:color="auto" w:sz="4" w:space="0"/>
              <w:left w:val="single" w:color="auto" w:sz="4" w:space="0"/>
              <w:bottom w:val="single" w:color="auto" w:sz="4" w:space="0"/>
              <w:right w:val="single" w:color="auto" w:sz="4" w:space="0"/>
            </w:tcBorders>
          </w:tcPr>
          <w:p>
            <w:pPr>
              <w:spacing w:after="120"/>
              <w:jc w:val="center"/>
              <w:rPr>
                <w:rFonts w:hint="eastAsia" w:ascii="宋体" w:hAnsi="宋体" w:eastAsia="宋体" w:cs="宋体"/>
                <w:sz w:val="24"/>
              </w:rPr>
            </w:pPr>
          </w:p>
        </w:tc>
        <w:tc>
          <w:tcPr>
            <w:tcW w:w="1953" w:type="dxa"/>
          </w:tcPr>
          <w:p>
            <w:pPr>
              <w:spacing w:after="1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trPr>
        <w:tc>
          <w:tcPr>
            <w:tcW w:w="769" w:type="dxa"/>
          </w:tcPr>
          <w:p>
            <w:pPr>
              <w:spacing w:after="120"/>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jc w:val="center"/>
              <w:rPr>
                <w:rFonts w:hint="eastAsia" w:ascii="宋体" w:hAnsi="宋体" w:eastAsia="宋体" w:cs="宋体"/>
                <w:sz w:val="24"/>
                <w:lang w:val="en-US" w:eastAsia="zh-CN"/>
              </w:rPr>
            </w:pPr>
            <w:r>
              <w:rPr>
                <w:rFonts w:hint="eastAsia" w:ascii="宋体" w:hAnsi="宋体" w:eastAsia="宋体" w:cs="宋体"/>
                <w:sz w:val="24"/>
              </w:rPr>
              <w:t>厨师</w:t>
            </w:r>
          </w:p>
        </w:tc>
        <w:tc>
          <w:tcPr>
            <w:tcW w:w="1722" w:type="dxa"/>
            <w:tcBorders>
              <w:top w:val="single" w:color="auto" w:sz="4" w:space="0"/>
              <w:left w:val="single" w:color="auto" w:sz="4" w:space="0"/>
              <w:bottom w:val="single" w:color="auto" w:sz="4" w:space="0"/>
              <w:right w:val="single" w:color="auto" w:sz="4" w:space="0"/>
            </w:tcBorders>
          </w:tcPr>
          <w:p>
            <w:pPr>
              <w:spacing w:after="120"/>
              <w:jc w:val="center"/>
              <w:rPr>
                <w:rFonts w:hint="eastAsia" w:ascii="宋体" w:hAnsi="宋体" w:eastAsia="宋体" w:cs="宋体"/>
                <w:sz w:val="24"/>
              </w:rPr>
            </w:pPr>
          </w:p>
        </w:tc>
        <w:tc>
          <w:tcPr>
            <w:tcW w:w="1918" w:type="dxa"/>
            <w:tcBorders>
              <w:top w:val="single" w:color="auto" w:sz="4" w:space="0"/>
              <w:left w:val="single" w:color="auto" w:sz="4" w:space="0"/>
              <w:bottom w:val="single" w:color="auto" w:sz="4" w:space="0"/>
              <w:right w:val="single" w:color="auto" w:sz="4" w:space="0"/>
            </w:tcBorders>
          </w:tcPr>
          <w:p>
            <w:pPr>
              <w:spacing w:after="120"/>
              <w:jc w:val="center"/>
              <w:rPr>
                <w:rFonts w:hint="eastAsia" w:ascii="宋体" w:hAnsi="宋体" w:eastAsia="宋体" w:cs="宋体"/>
                <w:sz w:val="24"/>
              </w:rPr>
            </w:pPr>
          </w:p>
        </w:tc>
        <w:tc>
          <w:tcPr>
            <w:tcW w:w="2316" w:type="dxa"/>
            <w:tcBorders>
              <w:top w:val="single" w:color="auto" w:sz="4" w:space="0"/>
              <w:left w:val="single" w:color="auto" w:sz="4" w:space="0"/>
              <w:bottom w:val="single" w:color="auto" w:sz="4" w:space="0"/>
              <w:right w:val="single" w:color="auto" w:sz="4" w:space="0"/>
            </w:tcBorders>
          </w:tcPr>
          <w:p>
            <w:pPr>
              <w:spacing w:after="120"/>
              <w:jc w:val="center"/>
              <w:rPr>
                <w:rFonts w:hint="eastAsia" w:ascii="宋体" w:hAnsi="宋体" w:eastAsia="宋体" w:cs="宋体"/>
                <w:sz w:val="24"/>
              </w:rPr>
            </w:pPr>
          </w:p>
        </w:tc>
        <w:tc>
          <w:tcPr>
            <w:tcW w:w="1953" w:type="dxa"/>
          </w:tcPr>
          <w:p>
            <w:pPr>
              <w:spacing w:after="1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trPr>
        <w:tc>
          <w:tcPr>
            <w:tcW w:w="769" w:type="dxa"/>
          </w:tcPr>
          <w:p>
            <w:pPr>
              <w:spacing w:after="120"/>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jc w:val="center"/>
              <w:rPr>
                <w:rFonts w:hint="eastAsia" w:ascii="宋体" w:hAnsi="宋体" w:eastAsia="宋体" w:cs="宋体"/>
                <w:sz w:val="24"/>
                <w:lang w:val="en-US" w:eastAsia="zh-CN"/>
              </w:rPr>
            </w:pPr>
            <w:r>
              <w:rPr>
                <w:rFonts w:hint="eastAsia" w:ascii="宋体" w:hAnsi="宋体" w:eastAsia="宋体" w:cs="宋体"/>
                <w:sz w:val="24"/>
              </w:rPr>
              <w:t>粗加工</w:t>
            </w:r>
          </w:p>
        </w:tc>
        <w:tc>
          <w:tcPr>
            <w:tcW w:w="1722" w:type="dxa"/>
            <w:tcBorders>
              <w:top w:val="single" w:color="auto" w:sz="4" w:space="0"/>
              <w:left w:val="single" w:color="auto" w:sz="4" w:space="0"/>
              <w:bottom w:val="single" w:color="auto" w:sz="4" w:space="0"/>
              <w:right w:val="single" w:color="auto" w:sz="4" w:space="0"/>
            </w:tcBorders>
          </w:tcPr>
          <w:p>
            <w:pPr>
              <w:spacing w:after="120"/>
              <w:jc w:val="center"/>
              <w:rPr>
                <w:rFonts w:hint="eastAsia" w:ascii="宋体" w:hAnsi="宋体" w:eastAsia="宋体" w:cs="宋体"/>
                <w:sz w:val="24"/>
              </w:rPr>
            </w:pPr>
          </w:p>
        </w:tc>
        <w:tc>
          <w:tcPr>
            <w:tcW w:w="1918" w:type="dxa"/>
            <w:tcBorders>
              <w:top w:val="single" w:color="auto" w:sz="4" w:space="0"/>
              <w:left w:val="single" w:color="auto" w:sz="4" w:space="0"/>
              <w:bottom w:val="single" w:color="auto" w:sz="4" w:space="0"/>
              <w:right w:val="single" w:color="auto" w:sz="4" w:space="0"/>
            </w:tcBorders>
          </w:tcPr>
          <w:p>
            <w:pPr>
              <w:spacing w:after="120"/>
              <w:jc w:val="center"/>
              <w:rPr>
                <w:rFonts w:hint="eastAsia" w:ascii="宋体" w:hAnsi="宋体" w:eastAsia="宋体" w:cs="宋体"/>
                <w:sz w:val="24"/>
              </w:rPr>
            </w:pPr>
          </w:p>
        </w:tc>
        <w:tc>
          <w:tcPr>
            <w:tcW w:w="2316" w:type="dxa"/>
            <w:tcBorders>
              <w:top w:val="single" w:color="auto" w:sz="4" w:space="0"/>
              <w:left w:val="single" w:color="auto" w:sz="4" w:space="0"/>
              <w:bottom w:val="single" w:color="auto" w:sz="4" w:space="0"/>
              <w:right w:val="single" w:color="auto" w:sz="4" w:space="0"/>
            </w:tcBorders>
          </w:tcPr>
          <w:p>
            <w:pPr>
              <w:spacing w:after="120"/>
              <w:jc w:val="center"/>
              <w:rPr>
                <w:rFonts w:hint="eastAsia" w:ascii="宋体" w:hAnsi="宋体" w:eastAsia="宋体" w:cs="宋体"/>
                <w:sz w:val="24"/>
              </w:rPr>
            </w:pPr>
          </w:p>
        </w:tc>
        <w:tc>
          <w:tcPr>
            <w:tcW w:w="1953" w:type="dxa"/>
          </w:tcPr>
          <w:p>
            <w:pPr>
              <w:spacing w:after="1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trPr>
        <w:tc>
          <w:tcPr>
            <w:tcW w:w="769" w:type="dxa"/>
          </w:tcPr>
          <w:p>
            <w:pPr>
              <w:spacing w:after="120"/>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jc w:val="center"/>
              <w:rPr>
                <w:rFonts w:hint="eastAsia" w:ascii="宋体" w:hAnsi="宋体" w:eastAsia="宋体" w:cs="宋体"/>
                <w:sz w:val="24"/>
                <w:lang w:val="en-US" w:eastAsia="zh-CN"/>
              </w:rPr>
            </w:pPr>
            <w:r>
              <w:rPr>
                <w:rFonts w:hint="eastAsia" w:ascii="宋体" w:hAnsi="宋体" w:eastAsia="宋体" w:cs="宋体"/>
                <w:sz w:val="24"/>
              </w:rPr>
              <w:t>面点师</w:t>
            </w:r>
          </w:p>
        </w:tc>
        <w:tc>
          <w:tcPr>
            <w:tcW w:w="1722" w:type="dxa"/>
            <w:tcBorders>
              <w:top w:val="single" w:color="auto" w:sz="4" w:space="0"/>
              <w:left w:val="single" w:color="auto" w:sz="4" w:space="0"/>
              <w:bottom w:val="single" w:color="auto" w:sz="4" w:space="0"/>
              <w:right w:val="single" w:color="auto" w:sz="4" w:space="0"/>
            </w:tcBorders>
          </w:tcPr>
          <w:p>
            <w:pPr>
              <w:spacing w:after="120"/>
              <w:jc w:val="center"/>
              <w:rPr>
                <w:rFonts w:hint="eastAsia" w:ascii="宋体" w:hAnsi="宋体" w:eastAsia="宋体" w:cs="宋体"/>
                <w:sz w:val="24"/>
              </w:rPr>
            </w:pPr>
          </w:p>
        </w:tc>
        <w:tc>
          <w:tcPr>
            <w:tcW w:w="1918" w:type="dxa"/>
            <w:tcBorders>
              <w:top w:val="single" w:color="auto" w:sz="4" w:space="0"/>
              <w:left w:val="single" w:color="auto" w:sz="4" w:space="0"/>
              <w:bottom w:val="single" w:color="auto" w:sz="4" w:space="0"/>
              <w:right w:val="single" w:color="auto" w:sz="4" w:space="0"/>
            </w:tcBorders>
          </w:tcPr>
          <w:p>
            <w:pPr>
              <w:spacing w:after="120"/>
              <w:jc w:val="center"/>
              <w:rPr>
                <w:rFonts w:hint="eastAsia" w:ascii="宋体" w:hAnsi="宋体" w:eastAsia="宋体" w:cs="宋体"/>
                <w:sz w:val="24"/>
              </w:rPr>
            </w:pPr>
          </w:p>
        </w:tc>
        <w:tc>
          <w:tcPr>
            <w:tcW w:w="2316" w:type="dxa"/>
            <w:tcBorders>
              <w:top w:val="single" w:color="auto" w:sz="4" w:space="0"/>
              <w:left w:val="single" w:color="auto" w:sz="4" w:space="0"/>
              <w:bottom w:val="single" w:color="auto" w:sz="4" w:space="0"/>
              <w:right w:val="single" w:color="auto" w:sz="4" w:space="0"/>
            </w:tcBorders>
          </w:tcPr>
          <w:p>
            <w:pPr>
              <w:spacing w:after="120"/>
              <w:jc w:val="center"/>
              <w:rPr>
                <w:rFonts w:hint="eastAsia" w:ascii="宋体" w:hAnsi="宋体" w:eastAsia="宋体" w:cs="宋体"/>
                <w:sz w:val="24"/>
              </w:rPr>
            </w:pPr>
          </w:p>
        </w:tc>
        <w:tc>
          <w:tcPr>
            <w:tcW w:w="1953" w:type="dxa"/>
          </w:tcPr>
          <w:p>
            <w:pPr>
              <w:spacing w:after="120"/>
              <w:jc w:val="center"/>
              <w:rPr>
                <w:rFonts w:hint="eastAsia" w:ascii="宋体" w:hAnsi="宋体" w:eastAsia="宋体" w:cs="宋体"/>
                <w:sz w:val="24"/>
              </w:rPr>
            </w:pPr>
          </w:p>
        </w:tc>
      </w:tr>
    </w:tbl>
    <w:p>
      <w:pPr>
        <w:spacing w:after="120" w:line="360" w:lineRule="auto"/>
        <w:jc w:val="left"/>
        <w:rPr>
          <w:rFonts w:hint="eastAsia" w:ascii="宋体" w:hAnsi="宋体" w:eastAsia="宋体" w:cs="宋体"/>
          <w:b/>
          <w:sz w:val="24"/>
          <w:lang w:val="en-GB"/>
        </w:rPr>
      </w:pPr>
      <w:r>
        <w:rPr>
          <w:rFonts w:hint="eastAsia" w:ascii="宋体" w:hAnsi="宋体" w:eastAsia="宋体" w:cs="宋体"/>
          <w:b/>
          <w:sz w:val="24"/>
          <w:lang w:val="en-GB"/>
        </w:rPr>
        <w:t>注：</w:t>
      </w:r>
    </w:p>
    <w:p>
      <w:pPr>
        <w:spacing w:after="120" w:line="360" w:lineRule="auto"/>
        <w:jc w:val="left"/>
        <w:rPr>
          <w:rFonts w:hint="default" w:ascii="宋体" w:hAnsi="宋体" w:eastAsia="宋体" w:cs="宋体"/>
          <w:b/>
          <w:sz w:val="24"/>
          <w:lang w:val="en-US" w:eastAsia="zh-CN"/>
        </w:rPr>
      </w:pPr>
      <w:r>
        <w:rPr>
          <w:rFonts w:hint="eastAsia" w:ascii="宋体" w:hAnsi="宋体" w:eastAsia="宋体" w:cs="宋体"/>
          <w:b/>
          <w:bCs/>
          <w:sz w:val="24"/>
          <w:lang w:val="en-GB"/>
        </w:rPr>
        <w:t>1）</w:t>
      </w:r>
      <w:r>
        <w:rPr>
          <w:rFonts w:hint="eastAsia" w:ascii="宋体" w:hAnsi="宋体" w:eastAsia="宋体" w:cs="宋体"/>
          <w:b/>
          <w:bCs/>
          <w:sz w:val="24"/>
          <w:lang w:val="en-US" w:eastAsia="zh-CN"/>
        </w:rPr>
        <w:t>后附人员证书，健康证等资料</w:t>
      </w:r>
    </w:p>
    <w:p>
      <w:pPr>
        <w:widowControl/>
        <w:spacing w:line="360" w:lineRule="auto"/>
        <w:ind w:right="420"/>
        <w:rPr>
          <w:rFonts w:hint="eastAsia" w:ascii="宋体" w:hAnsi="宋体" w:eastAsia="宋体" w:cs="宋体"/>
          <w:sz w:val="24"/>
          <w:lang w:val="en-GB"/>
        </w:rPr>
      </w:pPr>
    </w:p>
    <w:p>
      <w:pPr>
        <w:spacing w:line="600" w:lineRule="exact"/>
        <w:ind w:right="1547" w:firstLine="442" w:firstLineChars="200"/>
        <w:jc w:val="right"/>
        <w:rPr>
          <w:rFonts w:hint="eastAsia" w:ascii="宋体" w:hAnsi="宋体" w:eastAsia="宋体" w:cs="宋体"/>
          <w:sz w:val="24"/>
        </w:rPr>
      </w:pPr>
      <w:r>
        <w:rPr>
          <w:rFonts w:hint="eastAsia" w:ascii="宋体" w:hAnsi="宋体" w:eastAsia="宋体" w:cs="宋体"/>
          <w:sz w:val="24"/>
        </w:rPr>
        <w:t>投标单位全称:(盖章)</w:t>
      </w:r>
    </w:p>
    <w:p>
      <w:pPr>
        <w:spacing w:line="600" w:lineRule="exact"/>
        <w:ind w:right="1768" w:firstLine="442" w:firstLineChars="200"/>
        <w:jc w:val="right"/>
        <w:rPr>
          <w:rFonts w:hint="eastAsia" w:ascii="宋体" w:hAnsi="宋体" w:eastAsia="宋体" w:cs="宋体"/>
          <w:sz w:val="24"/>
        </w:rPr>
      </w:pPr>
      <w:r>
        <w:rPr>
          <w:rFonts w:hint="eastAsia" w:ascii="宋体" w:hAnsi="宋体" w:eastAsia="宋体" w:cs="宋体"/>
          <w:sz w:val="24"/>
        </w:rPr>
        <w:t>法定代表人:(签字)</w:t>
      </w:r>
    </w:p>
    <w:p>
      <w:pPr>
        <w:spacing w:line="360" w:lineRule="auto"/>
        <w:ind w:firstLine="5967" w:firstLineChars="2700"/>
        <w:rPr>
          <w:rFonts w:hint="eastAsia" w:ascii="宋体" w:hAnsi="宋体" w:eastAsia="宋体" w:cs="宋体"/>
          <w:sz w:val="24"/>
        </w:rPr>
      </w:pPr>
      <w:r>
        <w:rPr>
          <w:rFonts w:hint="eastAsia" w:ascii="宋体" w:hAnsi="宋体" w:eastAsia="宋体" w:cs="宋体"/>
          <w:sz w:val="24"/>
        </w:rPr>
        <w:t>年  月   日</w:t>
      </w:r>
    </w:p>
    <w:p>
      <w:pPr>
        <w:rPr>
          <w:rFonts w:hint="eastAsia" w:ascii="宋体" w:hAnsi="宋体" w:eastAsia="宋体" w:cs="宋体"/>
        </w:rPr>
      </w:pPr>
      <w:r>
        <w:rPr>
          <w:rFonts w:hint="eastAsia" w:ascii="宋体" w:hAnsi="宋体" w:eastAsia="宋体" w:cs="宋体"/>
        </w:rPr>
        <w:br w:type="page"/>
      </w:r>
    </w:p>
    <w:p>
      <w:pPr>
        <w:jc w:val="left"/>
        <w:rPr>
          <w:rFonts w:hint="default" w:ascii="宋体" w:hAnsi="宋体" w:eastAsia="宋体" w:cs="宋体"/>
          <w:b/>
          <w:bCs/>
          <w:sz w:val="24"/>
          <w:lang w:val="en-US" w:eastAsia="zh-CN"/>
        </w:rPr>
      </w:pPr>
      <w:r>
        <w:rPr>
          <w:rFonts w:hint="eastAsia" w:ascii="宋体" w:hAnsi="宋体" w:eastAsia="宋体" w:cs="宋体"/>
          <w:b/>
          <w:bCs/>
          <w:sz w:val="24"/>
          <w:lang w:val="en-US" w:eastAsia="zh-CN"/>
        </w:rPr>
        <w:t>附件十：</w:t>
      </w:r>
    </w:p>
    <w:p>
      <w:pPr>
        <w:jc w:val="center"/>
        <w:rPr>
          <w:rFonts w:hint="default" w:ascii="宋体" w:hAnsi="宋体" w:eastAsia="宋体" w:cs="宋体"/>
          <w:b/>
          <w:sz w:val="24"/>
          <w:lang w:val="en-US" w:eastAsia="zh-CN"/>
        </w:rPr>
      </w:pPr>
      <w:r>
        <w:rPr>
          <w:rFonts w:hint="eastAsia" w:ascii="宋体" w:hAnsi="宋体" w:eastAsia="宋体" w:cs="宋体"/>
          <w:b/>
          <w:sz w:val="24"/>
          <w:lang w:val="en-US" w:eastAsia="zh-CN"/>
        </w:rPr>
        <w:t>投标人根据资格要求和评标办法中的要求，需提交的其他资料。</w:t>
      </w:r>
    </w:p>
    <w:sectPr>
      <w:footerReference r:id="rId6" w:type="first"/>
      <w:footerReference r:id="rId5" w:type="default"/>
      <w:pgSz w:w="11907" w:h="16840"/>
      <w:pgMar w:top="1985" w:right="1418" w:bottom="1418" w:left="1418" w:header="851" w:footer="851" w:gutter="0"/>
      <w:pgNumType w:start="1"/>
      <w:cols w:space="720" w:num="1"/>
      <w:docGrid w:type="linesAndChar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21"/>
      </w:rPr>
      <mc:AlternateContent>
        <mc:Choice Requires="wps">
          <w:drawing>
            <wp:anchor distT="0" distB="0" distL="114300" distR="114300" simplePos="0" relativeHeight="251660288" behindDoc="0" locked="0" layoutInCell="1" allowOverlap="1">
              <wp:simplePos x="0" y="0"/>
              <wp:positionH relativeFrom="margin">
                <wp:posOffset>2818130</wp:posOffset>
              </wp:positionH>
              <wp:positionV relativeFrom="paragraph">
                <wp:posOffset>-635</wp:posOffset>
              </wp:positionV>
              <wp:extent cx="274320" cy="18288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74320" cy="182880"/>
                      </a:xfrm>
                      <a:prstGeom prst="rect">
                        <a:avLst/>
                      </a:prstGeom>
                      <a:noFill/>
                      <a:ln w="9525">
                        <a:noFill/>
                      </a:ln>
                    </wps:spPr>
                    <wps:txbx>
                      <w:txbxContent>
                        <w:p>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t>47</w:t>
                          </w:r>
                          <w:r>
                            <w:rPr>
                              <w:rFonts w:hint="eastAsia" w:eastAsia="宋体"/>
                            </w:rPr>
                            <w:fldChar w:fldCharType="end"/>
                          </w:r>
                        </w:p>
                      </w:txbxContent>
                    </wps:txbx>
                    <wps:bodyPr wrap="square" lIns="0" tIns="0" rIns="0" bIns="0">
                      <a:noAutofit/>
                    </wps:bodyPr>
                  </wps:wsp>
                </a:graphicData>
              </a:graphic>
            </wp:anchor>
          </w:drawing>
        </mc:Choice>
        <mc:Fallback>
          <w:pict>
            <v:shape id="文本框 3" o:spid="_x0000_s1026" o:spt="202" type="#_x0000_t202" style="position:absolute;left:0pt;margin-left:221.9pt;margin-top:-0.05pt;height:14.4pt;width:21.6pt;mso-position-horizontal-relative:margin;z-index:251660288;mso-width-relative:page;mso-height-relative:page;" filled="f" stroked="f" coordsize="21600,21600" o:gfxdata="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1SkE9gAAAAIAQAADwAAAAAAAAABACAAAAAi&#10;AAAAZHJzL2Rvd25yZXYueG1sUEsBAhQAFAAAAAgAh07iQImlwrHRAQAAlgMAAA4AAAAAAAAAAQAg&#10;AAAAJwEAAGRycy9lMm9Eb2MueG1sUEsFBgAAAAAGAAYAWQEAAGoFAAAAAA==&#10;">
              <v:fill on="f" focussize="0,0"/>
              <v:stroke on="f"/>
              <v:imagedata o:title=""/>
              <o:lock v:ext="edit" aspectratio="f"/>
              <v:textbox inset="0mm,0mm,0mm,0mm">
                <w:txbxContent>
                  <w:p>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t>47</w:t>
                    </w:r>
                    <w:r>
                      <w:rPr>
                        <w:rFonts w:hint="eastAsia" w:eastAsia="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t>1</w:t>
                          </w:r>
                          <w:r>
                            <w:rPr>
                              <w:rFonts w:hint="eastAsia" w:eastAsia="宋体"/>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uVXLAQAAlgMAAA4AAAAAAAAAAQAgAAAAHgEAAGRycy9lMm9E&#10;b2MueG1sUEsFBgAAAAAGAAYAWQEAAFsFAAAAAA==&#10;">
              <v:fill on="f" focussize="0,0"/>
              <v:stroke on="f"/>
              <v:imagedata o:title=""/>
              <o:lock v:ext="edit" aspectratio="f"/>
              <v:textbox inset="0mm,0mm,0mm,0mm" style="mso-fit-shape-to-text:t;">
                <w:txbxContent>
                  <w:p>
                    <w:pPr>
                      <w:pStyle w:val="1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t>1</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rFonts w:ascii="仿宋_GB2312" w:eastAsia="仿宋_GB2312"/>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53C01"/>
    <w:multiLevelType w:val="singleLevel"/>
    <w:tmpl w:val="E5753C01"/>
    <w:lvl w:ilvl="0" w:tentative="0">
      <w:start w:val="1"/>
      <w:numFmt w:val="chineseCounting"/>
      <w:suff w:val="nothing"/>
      <w:lvlText w:val="%1、"/>
      <w:lvlJc w:val="left"/>
      <w:rPr>
        <w:rFonts w:hint="eastAsia"/>
      </w:rPr>
    </w:lvl>
  </w:abstractNum>
  <w:abstractNum w:abstractNumId="1">
    <w:nsid w:val="60FFE820"/>
    <w:multiLevelType w:val="singleLevel"/>
    <w:tmpl w:val="60FFE820"/>
    <w:lvl w:ilvl="0" w:tentative="0">
      <w:start w:val="3"/>
      <w:numFmt w:val="chineseCounting"/>
      <w:suff w:val="space"/>
      <w:lvlText w:val="第%1部分"/>
      <w:lvlJc w:val="left"/>
      <w:rPr>
        <w:rFonts w:hint="eastAsia"/>
      </w:rPr>
    </w:lvl>
  </w:abstractNum>
  <w:abstractNum w:abstractNumId="2">
    <w:nsid w:val="6EE21DD9"/>
    <w:multiLevelType w:val="multilevel"/>
    <w:tmpl w:val="6EE21DD9"/>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MDJkMWY0NzMwOTMyNjM3YWM1MjE4YWZjMjliZmIifQ=="/>
  </w:docVars>
  <w:rsids>
    <w:rsidRoot w:val="30603DE7"/>
    <w:rsid w:val="00000B36"/>
    <w:rsid w:val="000048EC"/>
    <w:rsid w:val="00006A2E"/>
    <w:rsid w:val="0000767B"/>
    <w:rsid w:val="00011BF3"/>
    <w:rsid w:val="000136A7"/>
    <w:rsid w:val="00020326"/>
    <w:rsid w:val="00022844"/>
    <w:rsid w:val="000327DC"/>
    <w:rsid w:val="00037A54"/>
    <w:rsid w:val="00041105"/>
    <w:rsid w:val="00050A2C"/>
    <w:rsid w:val="00053E80"/>
    <w:rsid w:val="0005733C"/>
    <w:rsid w:val="00061527"/>
    <w:rsid w:val="00066EDA"/>
    <w:rsid w:val="000704E9"/>
    <w:rsid w:val="000711B0"/>
    <w:rsid w:val="00087BA4"/>
    <w:rsid w:val="000932B0"/>
    <w:rsid w:val="00097FDB"/>
    <w:rsid w:val="000B035B"/>
    <w:rsid w:val="000B5A30"/>
    <w:rsid w:val="000D1B3E"/>
    <w:rsid w:val="000D34A2"/>
    <w:rsid w:val="000E0320"/>
    <w:rsid w:val="000E1DCC"/>
    <w:rsid w:val="00103897"/>
    <w:rsid w:val="00105C4C"/>
    <w:rsid w:val="00106E74"/>
    <w:rsid w:val="00111719"/>
    <w:rsid w:val="001147AC"/>
    <w:rsid w:val="00117950"/>
    <w:rsid w:val="001277C8"/>
    <w:rsid w:val="001424AF"/>
    <w:rsid w:val="001614FE"/>
    <w:rsid w:val="001622AA"/>
    <w:rsid w:val="00162411"/>
    <w:rsid w:val="00164553"/>
    <w:rsid w:val="00165E03"/>
    <w:rsid w:val="001A6550"/>
    <w:rsid w:val="001B0676"/>
    <w:rsid w:val="001B6065"/>
    <w:rsid w:val="001B67CD"/>
    <w:rsid w:val="001B683E"/>
    <w:rsid w:val="001D5382"/>
    <w:rsid w:val="001D5ADF"/>
    <w:rsid w:val="001D67C1"/>
    <w:rsid w:val="001E4B21"/>
    <w:rsid w:val="001F0E9E"/>
    <w:rsid w:val="001F77DD"/>
    <w:rsid w:val="00211BAD"/>
    <w:rsid w:val="00216564"/>
    <w:rsid w:val="002230A9"/>
    <w:rsid w:val="00226BFE"/>
    <w:rsid w:val="002319C8"/>
    <w:rsid w:val="00236157"/>
    <w:rsid w:val="00240E6A"/>
    <w:rsid w:val="00241874"/>
    <w:rsid w:val="002553E7"/>
    <w:rsid w:val="002568C2"/>
    <w:rsid w:val="00262974"/>
    <w:rsid w:val="00271539"/>
    <w:rsid w:val="00273B26"/>
    <w:rsid w:val="00286410"/>
    <w:rsid w:val="002B7DF4"/>
    <w:rsid w:val="002C01FE"/>
    <w:rsid w:val="002C18D0"/>
    <w:rsid w:val="002C2C10"/>
    <w:rsid w:val="002C2EBE"/>
    <w:rsid w:val="002D55E6"/>
    <w:rsid w:val="002E001A"/>
    <w:rsid w:val="002F22B7"/>
    <w:rsid w:val="00302BD3"/>
    <w:rsid w:val="00307122"/>
    <w:rsid w:val="00312102"/>
    <w:rsid w:val="00315542"/>
    <w:rsid w:val="00316E7B"/>
    <w:rsid w:val="003205F4"/>
    <w:rsid w:val="00333275"/>
    <w:rsid w:val="00333529"/>
    <w:rsid w:val="00360FE9"/>
    <w:rsid w:val="0037124C"/>
    <w:rsid w:val="00375172"/>
    <w:rsid w:val="00375340"/>
    <w:rsid w:val="00376B9C"/>
    <w:rsid w:val="003770A2"/>
    <w:rsid w:val="003944E4"/>
    <w:rsid w:val="003948DB"/>
    <w:rsid w:val="003B106B"/>
    <w:rsid w:val="003B2AD8"/>
    <w:rsid w:val="003B36A8"/>
    <w:rsid w:val="003C7427"/>
    <w:rsid w:val="003D3EA6"/>
    <w:rsid w:val="003F6735"/>
    <w:rsid w:val="00400321"/>
    <w:rsid w:val="00400867"/>
    <w:rsid w:val="00412D3C"/>
    <w:rsid w:val="00412ECB"/>
    <w:rsid w:val="00414F08"/>
    <w:rsid w:val="00431137"/>
    <w:rsid w:val="00433625"/>
    <w:rsid w:val="0043626F"/>
    <w:rsid w:val="0044472B"/>
    <w:rsid w:val="00455A9A"/>
    <w:rsid w:val="00456933"/>
    <w:rsid w:val="00464605"/>
    <w:rsid w:val="00473628"/>
    <w:rsid w:val="004777DC"/>
    <w:rsid w:val="00481E57"/>
    <w:rsid w:val="00485168"/>
    <w:rsid w:val="004865C2"/>
    <w:rsid w:val="00491DAE"/>
    <w:rsid w:val="004974BB"/>
    <w:rsid w:val="004A67C3"/>
    <w:rsid w:val="004B2C5C"/>
    <w:rsid w:val="004B3538"/>
    <w:rsid w:val="004B3B90"/>
    <w:rsid w:val="004C2979"/>
    <w:rsid w:val="004D621E"/>
    <w:rsid w:val="004E13A2"/>
    <w:rsid w:val="004E3808"/>
    <w:rsid w:val="004E644E"/>
    <w:rsid w:val="004F4AD8"/>
    <w:rsid w:val="00502062"/>
    <w:rsid w:val="005126AF"/>
    <w:rsid w:val="005145FF"/>
    <w:rsid w:val="005146D7"/>
    <w:rsid w:val="00522EA5"/>
    <w:rsid w:val="0054009A"/>
    <w:rsid w:val="005515EB"/>
    <w:rsid w:val="0055575A"/>
    <w:rsid w:val="00562EAE"/>
    <w:rsid w:val="00567A96"/>
    <w:rsid w:val="00594470"/>
    <w:rsid w:val="005A4D8A"/>
    <w:rsid w:val="005B2E32"/>
    <w:rsid w:val="005B35DE"/>
    <w:rsid w:val="005C04DB"/>
    <w:rsid w:val="005C1230"/>
    <w:rsid w:val="005C2E83"/>
    <w:rsid w:val="005D16FA"/>
    <w:rsid w:val="005D28A7"/>
    <w:rsid w:val="005D3F7C"/>
    <w:rsid w:val="005D5FDC"/>
    <w:rsid w:val="005E116A"/>
    <w:rsid w:val="005E4FD0"/>
    <w:rsid w:val="005F5883"/>
    <w:rsid w:val="00601984"/>
    <w:rsid w:val="00611387"/>
    <w:rsid w:val="00611E48"/>
    <w:rsid w:val="006175A3"/>
    <w:rsid w:val="00634DE8"/>
    <w:rsid w:val="00642141"/>
    <w:rsid w:val="00646B11"/>
    <w:rsid w:val="0065573F"/>
    <w:rsid w:val="00657F70"/>
    <w:rsid w:val="006610B5"/>
    <w:rsid w:val="00670158"/>
    <w:rsid w:val="00677149"/>
    <w:rsid w:val="006900AC"/>
    <w:rsid w:val="006934D2"/>
    <w:rsid w:val="006A3402"/>
    <w:rsid w:val="006A44A9"/>
    <w:rsid w:val="006B0E1F"/>
    <w:rsid w:val="006B321A"/>
    <w:rsid w:val="006C1528"/>
    <w:rsid w:val="006C3F25"/>
    <w:rsid w:val="006E5704"/>
    <w:rsid w:val="006E7ACE"/>
    <w:rsid w:val="006F606D"/>
    <w:rsid w:val="0070039F"/>
    <w:rsid w:val="00703F2F"/>
    <w:rsid w:val="00710A92"/>
    <w:rsid w:val="00711A74"/>
    <w:rsid w:val="00712801"/>
    <w:rsid w:val="00726407"/>
    <w:rsid w:val="00734730"/>
    <w:rsid w:val="007364AB"/>
    <w:rsid w:val="0074663D"/>
    <w:rsid w:val="007474C6"/>
    <w:rsid w:val="00747FF8"/>
    <w:rsid w:val="007632A2"/>
    <w:rsid w:val="00763524"/>
    <w:rsid w:val="00764328"/>
    <w:rsid w:val="00767EF8"/>
    <w:rsid w:val="00785181"/>
    <w:rsid w:val="00785543"/>
    <w:rsid w:val="00787467"/>
    <w:rsid w:val="00794BD9"/>
    <w:rsid w:val="00795E5D"/>
    <w:rsid w:val="007A230A"/>
    <w:rsid w:val="007B0193"/>
    <w:rsid w:val="007B79EE"/>
    <w:rsid w:val="007D0206"/>
    <w:rsid w:val="007D06AB"/>
    <w:rsid w:val="007D1F85"/>
    <w:rsid w:val="007D6C2F"/>
    <w:rsid w:val="007F0A44"/>
    <w:rsid w:val="007F0DF8"/>
    <w:rsid w:val="00801B60"/>
    <w:rsid w:val="008138C5"/>
    <w:rsid w:val="00820751"/>
    <w:rsid w:val="00823EA7"/>
    <w:rsid w:val="00825C17"/>
    <w:rsid w:val="00827908"/>
    <w:rsid w:val="00830759"/>
    <w:rsid w:val="008361EC"/>
    <w:rsid w:val="0084172F"/>
    <w:rsid w:val="008451D1"/>
    <w:rsid w:val="00852630"/>
    <w:rsid w:val="00856122"/>
    <w:rsid w:val="0086289B"/>
    <w:rsid w:val="00880FB9"/>
    <w:rsid w:val="008A254F"/>
    <w:rsid w:val="008A5971"/>
    <w:rsid w:val="008B0D48"/>
    <w:rsid w:val="008B14C3"/>
    <w:rsid w:val="008B15E6"/>
    <w:rsid w:val="008B4FB5"/>
    <w:rsid w:val="008B5CCD"/>
    <w:rsid w:val="008F1F7C"/>
    <w:rsid w:val="009215F0"/>
    <w:rsid w:val="00930469"/>
    <w:rsid w:val="00932188"/>
    <w:rsid w:val="00936276"/>
    <w:rsid w:val="0094034A"/>
    <w:rsid w:val="00941FE5"/>
    <w:rsid w:val="00942BE6"/>
    <w:rsid w:val="0094340D"/>
    <w:rsid w:val="00972DF0"/>
    <w:rsid w:val="009760E3"/>
    <w:rsid w:val="00984725"/>
    <w:rsid w:val="00992A85"/>
    <w:rsid w:val="0099666B"/>
    <w:rsid w:val="009A4187"/>
    <w:rsid w:val="009A613F"/>
    <w:rsid w:val="009B38C9"/>
    <w:rsid w:val="009B3C94"/>
    <w:rsid w:val="009B789B"/>
    <w:rsid w:val="009C503E"/>
    <w:rsid w:val="009C5D8C"/>
    <w:rsid w:val="009D04D0"/>
    <w:rsid w:val="009E07FB"/>
    <w:rsid w:val="009E17A0"/>
    <w:rsid w:val="009E5CB8"/>
    <w:rsid w:val="009E653B"/>
    <w:rsid w:val="009E66CA"/>
    <w:rsid w:val="009F01B4"/>
    <w:rsid w:val="009F152D"/>
    <w:rsid w:val="009F1A61"/>
    <w:rsid w:val="00A00B13"/>
    <w:rsid w:val="00A058E1"/>
    <w:rsid w:val="00A059B0"/>
    <w:rsid w:val="00A10FE0"/>
    <w:rsid w:val="00A163C2"/>
    <w:rsid w:val="00A31B20"/>
    <w:rsid w:val="00A5393B"/>
    <w:rsid w:val="00A54A84"/>
    <w:rsid w:val="00A61FE3"/>
    <w:rsid w:val="00A83ADE"/>
    <w:rsid w:val="00A8561E"/>
    <w:rsid w:val="00AA27EF"/>
    <w:rsid w:val="00AB074A"/>
    <w:rsid w:val="00AB1C49"/>
    <w:rsid w:val="00AC3903"/>
    <w:rsid w:val="00AD2316"/>
    <w:rsid w:val="00AD2DCE"/>
    <w:rsid w:val="00AD403B"/>
    <w:rsid w:val="00AE0A77"/>
    <w:rsid w:val="00AE2C83"/>
    <w:rsid w:val="00AE6393"/>
    <w:rsid w:val="00AE660D"/>
    <w:rsid w:val="00AF6FEC"/>
    <w:rsid w:val="00B05F43"/>
    <w:rsid w:val="00B208B2"/>
    <w:rsid w:val="00B21D1B"/>
    <w:rsid w:val="00B3105D"/>
    <w:rsid w:val="00B36ED8"/>
    <w:rsid w:val="00B41882"/>
    <w:rsid w:val="00B542BB"/>
    <w:rsid w:val="00B653EC"/>
    <w:rsid w:val="00B65C4F"/>
    <w:rsid w:val="00B80D5F"/>
    <w:rsid w:val="00B87AAA"/>
    <w:rsid w:val="00B914E3"/>
    <w:rsid w:val="00B924ED"/>
    <w:rsid w:val="00B93E1C"/>
    <w:rsid w:val="00BA50C2"/>
    <w:rsid w:val="00BB052E"/>
    <w:rsid w:val="00BB1459"/>
    <w:rsid w:val="00BB3F6A"/>
    <w:rsid w:val="00BC74CA"/>
    <w:rsid w:val="00BD031F"/>
    <w:rsid w:val="00BD265C"/>
    <w:rsid w:val="00BD58FF"/>
    <w:rsid w:val="00BD5A17"/>
    <w:rsid w:val="00BD72DF"/>
    <w:rsid w:val="00BE0191"/>
    <w:rsid w:val="00BE18AF"/>
    <w:rsid w:val="00BF2460"/>
    <w:rsid w:val="00BF33FC"/>
    <w:rsid w:val="00C07B4C"/>
    <w:rsid w:val="00C251C4"/>
    <w:rsid w:val="00C32458"/>
    <w:rsid w:val="00C32AED"/>
    <w:rsid w:val="00C358B2"/>
    <w:rsid w:val="00C35AE8"/>
    <w:rsid w:val="00C36CC7"/>
    <w:rsid w:val="00C50ABD"/>
    <w:rsid w:val="00C544C7"/>
    <w:rsid w:val="00C5696F"/>
    <w:rsid w:val="00C61E66"/>
    <w:rsid w:val="00C6254D"/>
    <w:rsid w:val="00C65668"/>
    <w:rsid w:val="00C7574C"/>
    <w:rsid w:val="00C75888"/>
    <w:rsid w:val="00C83075"/>
    <w:rsid w:val="00C86BE8"/>
    <w:rsid w:val="00C86F5C"/>
    <w:rsid w:val="00C915E8"/>
    <w:rsid w:val="00C92333"/>
    <w:rsid w:val="00C926A0"/>
    <w:rsid w:val="00C934B8"/>
    <w:rsid w:val="00CA40B5"/>
    <w:rsid w:val="00CB248A"/>
    <w:rsid w:val="00CC666D"/>
    <w:rsid w:val="00CD04F5"/>
    <w:rsid w:val="00CD66CF"/>
    <w:rsid w:val="00CE0368"/>
    <w:rsid w:val="00CE0CD0"/>
    <w:rsid w:val="00CE3EB0"/>
    <w:rsid w:val="00CE3F9F"/>
    <w:rsid w:val="00CF347A"/>
    <w:rsid w:val="00CF767C"/>
    <w:rsid w:val="00D01F91"/>
    <w:rsid w:val="00D02004"/>
    <w:rsid w:val="00D021E7"/>
    <w:rsid w:val="00D05728"/>
    <w:rsid w:val="00D30B0B"/>
    <w:rsid w:val="00D33BB3"/>
    <w:rsid w:val="00D609F5"/>
    <w:rsid w:val="00D66571"/>
    <w:rsid w:val="00D72542"/>
    <w:rsid w:val="00D85934"/>
    <w:rsid w:val="00D97D31"/>
    <w:rsid w:val="00DA126B"/>
    <w:rsid w:val="00DA1B5D"/>
    <w:rsid w:val="00DA4F19"/>
    <w:rsid w:val="00DC2035"/>
    <w:rsid w:val="00DC3FED"/>
    <w:rsid w:val="00DD6640"/>
    <w:rsid w:val="00DE2745"/>
    <w:rsid w:val="00DF6CF3"/>
    <w:rsid w:val="00E041E0"/>
    <w:rsid w:val="00E16C3F"/>
    <w:rsid w:val="00E17C90"/>
    <w:rsid w:val="00E252E3"/>
    <w:rsid w:val="00E31472"/>
    <w:rsid w:val="00E32D29"/>
    <w:rsid w:val="00E33224"/>
    <w:rsid w:val="00E33599"/>
    <w:rsid w:val="00E34402"/>
    <w:rsid w:val="00E350FD"/>
    <w:rsid w:val="00E445DC"/>
    <w:rsid w:val="00E44EFF"/>
    <w:rsid w:val="00E50A94"/>
    <w:rsid w:val="00E52352"/>
    <w:rsid w:val="00E54EEE"/>
    <w:rsid w:val="00E550D0"/>
    <w:rsid w:val="00E5537A"/>
    <w:rsid w:val="00E55FAF"/>
    <w:rsid w:val="00E607E8"/>
    <w:rsid w:val="00E668A6"/>
    <w:rsid w:val="00E717DB"/>
    <w:rsid w:val="00E81F54"/>
    <w:rsid w:val="00E83F30"/>
    <w:rsid w:val="00E8762B"/>
    <w:rsid w:val="00EC528D"/>
    <w:rsid w:val="00EC5FFE"/>
    <w:rsid w:val="00ED1A31"/>
    <w:rsid w:val="00ED236C"/>
    <w:rsid w:val="00ED43B2"/>
    <w:rsid w:val="00EE2309"/>
    <w:rsid w:val="00EF2657"/>
    <w:rsid w:val="00F064A2"/>
    <w:rsid w:val="00F06C73"/>
    <w:rsid w:val="00F176BA"/>
    <w:rsid w:val="00F24011"/>
    <w:rsid w:val="00F245A0"/>
    <w:rsid w:val="00F26FA3"/>
    <w:rsid w:val="00F33BE7"/>
    <w:rsid w:val="00F34A7C"/>
    <w:rsid w:val="00F50F3D"/>
    <w:rsid w:val="00F536B9"/>
    <w:rsid w:val="00F60A72"/>
    <w:rsid w:val="00F62E03"/>
    <w:rsid w:val="00F66544"/>
    <w:rsid w:val="00F8700E"/>
    <w:rsid w:val="00F930DE"/>
    <w:rsid w:val="00F9317B"/>
    <w:rsid w:val="00FA13A0"/>
    <w:rsid w:val="00FB39AE"/>
    <w:rsid w:val="00FB75D0"/>
    <w:rsid w:val="00FC1064"/>
    <w:rsid w:val="00FC28AA"/>
    <w:rsid w:val="00FC4CB4"/>
    <w:rsid w:val="00FC56A8"/>
    <w:rsid w:val="00FD63CC"/>
    <w:rsid w:val="00FE00C2"/>
    <w:rsid w:val="00FE4F27"/>
    <w:rsid w:val="00FF3A93"/>
    <w:rsid w:val="00FF610F"/>
    <w:rsid w:val="010F4E0E"/>
    <w:rsid w:val="0112363F"/>
    <w:rsid w:val="01676EAA"/>
    <w:rsid w:val="01763BCE"/>
    <w:rsid w:val="01894E1C"/>
    <w:rsid w:val="01987FE8"/>
    <w:rsid w:val="01A67197"/>
    <w:rsid w:val="01C96D8F"/>
    <w:rsid w:val="01CA53A9"/>
    <w:rsid w:val="01E22647"/>
    <w:rsid w:val="02181FD7"/>
    <w:rsid w:val="021D2ABA"/>
    <w:rsid w:val="021E4617"/>
    <w:rsid w:val="023B6BC5"/>
    <w:rsid w:val="024737BC"/>
    <w:rsid w:val="02731D3E"/>
    <w:rsid w:val="027C5214"/>
    <w:rsid w:val="027D3EE2"/>
    <w:rsid w:val="02B04EBD"/>
    <w:rsid w:val="02EB4148"/>
    <w:rsid w:val="03002993"/>
    <w:rsid w:val="0312483D"/>
    <w:rsid w:val="03411FB9"/>
    <w:rsid w:val="03A7250C"/>
    <w:rsid w:val="04593D2B"/>
    <w:rsid w:val="04937C04"/>
    <w:rsid w:val="04C2712A"/>
    <w:rsid w:val="04F55751"/>
    <w:rsid w:val="050C655C"/>
    <w:rsid w:val="051A63B2"/>
    <w:rsid w:val="051C2CDE"/>
    <w:rsid w:val="053E3EE3"/>
    <w:rsid w:val="054207E4"/>
    <w:rsid w:val="054305F2"/>
    <w:rsid w:val="057272E7"/>
    <w:rsid w:val="05831018"/>
    <w:rsid w:val="05871E26"/>
    <w:rsid w:val="05B5440F"/>
    <w:rsid w:val="05D610DF"/>
    <w:rsid w:val="05E355AA"/>
    <w:rsid w:val="05E51322"/>
    <w:rsid w:val="05EE2C14"/>
    <w:rsid w:val="061211BE"/>
    <w:rsid w:val="062F259D"/>
    <w:rsid w:val="067976CF"/>
    <w:rsid w:val="06C30619"/>
    <w:rsid w:val="072B3261"/>
    <w:rsid w:val="074A7DB8"/>
    <w:rsid w:val="075C73C2"/>
    <w:rsid w:val="081163FE"/>
    <w:rsid w:val="081952B3"/>
    <w:rsid w:val="088A62DA"/>
    <w:rsid w:val="08B87F33"/>
    <w:rsid w:val="08BB636A"/>
    <w:rsid w:val="08D219DD"/>
    <w:rsid w:val="09151F1E"/>
    <w:rsid w:val="093D0C48"/>
    <w:rsid w:val="094A0223"/>
    <w:rsid w:val="09574568"/>
    <w:rsid w:val="095B77C0"/>
    <w:rsid w:val="0968494D"/>
    <w:rsid w:val="09786FA6"/>
    <w:rsid w:val="09A2763E"/>
    <w:rsid w:val="09AB6481"/>
    <w:rsid w:val="09C74AF5"/>
    <w:rsid w:val="09D45935"/>
    <w:rsid w:val="09DB4F16"/>
    <w:rsid w:val="09ED4F77"/>
    <w:rsid w:val="0A4A5BF8"/>
    <w:rsid w:val="0A59083D"/>
    <w:rsid w:val="0A9F22EE"/>
    <w:rsid w:val="0AD47C0A"/>
    <w:rsid w:val="0AEC4F01"/>
    <w:rsid w:val="0B2A4EA6"/>
    <w:rsid w:val="0B7C5079"/>
    <w:rsid w:val="0B7E024F"/>
    <w:rsid w:val="0B812A3D"/>
    <w:rsid w:val="0B912AB1"/>
    <w:rsid w:val="0B9F7E05"/>
    <w:rsid w:val="0BB04180"/>
    <w:rsid w:val="0BDB744F"/>
    <w:rsid w:val="0BE96105"/>
    <w:rsid w:val="0BFF4052"/>
    <w:rsid w:val="0C0D1227"/>
    <w:rsid w:val="0C1110C3"/>
    <w:rsid w:val="0C6A2581"/>
    <w:rsid w:val="0C6F5DE9"/>
    <w:rsid w:val="0C9E222B"/>
    <w:rsid w:val="0CAF4438"/>
    <w:rsid w:val="0CD8573D"/>
    <w:rsid w:val="0CE122CE"/>
    <w:rsid w:val="0D077DD0"/>
    <w:rsid w:val="0D1000FC"/>
    <w:rsid w:val="0D56677F"/>
    <w:rsid w:val="0D6554FA"/>
    <w:rsid w:val="0D6B2FBF"/>
    <w:rsid w:val="0D86163D"/>
    <w:rsid w:val="0D9F23F3"/>
    <w:rsid w:val="0DB313DC"/>
    <w:rsid w:val="0DE6394D"/>
    <w:rsid w:val="0E436FB0"/>
    <w:rsid w:val="0E514FF9"/>
    <w:rsid w:val="0E7A2D8F"/>
    <w:rsid w:val="0E9F7B98"/>
    <w:rsid w:val="0EA52770"/>
    <w:rsid w:val="0ED1410A"/>
    <w:rsid w:val="0ED65CAC"/>
    <w:rsid w:val="0EE0384E"/>
    <w:rsid w:val="0EE91E83"/>
    <w:rsid w:val="0EEF3211"/>
    <w:rsid w:val="0EF65EEB"/>
    <w:rsid w:val="0F4669D5"/>
    <w:rsid w:val="0F6B1F04"/>
    <w:rsid w:val="0F716377"/>
    <w:rsid w:val="0F8958A1"/>
    <w:rsid w:val="0F920F42"/>
    <w:rsid w:val="0FA57C1B"/>
    <w:rsid w:val="0FEE34C9"/>
    <w:rsid w:val="0FF3288D"/>
    <w:rsid w:val="100B412C"/>
    <w:rsid w:val="102719D7"/>
    <w:rsid w:val="104444E2"/>
    <w:rsid w:val="105A5CCC"/>
    <w:rsid w:val="1070196B"/>
    <w:rsid w:val="108160EB"/>
    <w:rsid w:val="108F5DDE"/>
    <w:rsid w:val="10BE2E9B"/>
    <w:rsid w:val="10C55FD8"/>
    <w:rsid w:val="110F7B9B"/>
    <w:rsid w:val="11270E6C"/>
    <w:rsid w:val="11493B11"/>
    <w:rsid w:val="116F23E8"/>
    <w:rsid w:val="11773BAF"/>
    <w:rsid w:val="117B6FDE"/>
    <w:rsid w:val="11C94A63"/>
    <w:rsid w:val="11F5024A"/>
    <w:rsid w:val="1202325C"/>
    <w:rsid w:val="12061235"/>
    <w:rsid w:val="120C5C1E"/>
    <w:rsid w:val="12360724"/>
    <w:rsid w:val="12385D22"/>
    <w:rsid w:val="123A29F6"/>
    <w:rsid w:val="126F0EB3"/>
    <w:rsid w:val="127B31A7"/>
    <w:rsid w:val="127C310A"/>
    <w:rsid w:val="12CD503B"/>
    <w:rsid w:val="12E127FC"/>
    <w:rsid w:val="12F31522"/>
    <w:rsid w:val="13116C3B"/>
    <w:rsid w:val="1336140F"/>
    <w:rsid w:val="1355442E"/>
    <w:rsid w:val="1356560D"/>
    <w:rsid w:val="13A37271"/>
    <w:rsid w:val="13A834B0"/>
    <w:rsid w:val="13B30CB1"/>
    <w:rsid w:val="13CE6DBA"/>
    <w:rsid w:val="13D83A37"/>
    <w:rsid w:val="13D916D4"/>
    <w:rsid w:val="143F2545"/>
    <w:rsid w:val="14424DA3"/>
    <w:rsid w:val="14542768"/>
    <w:rsid w:val="149A777C"/>
    <w:rsid w:val="14F63E4B"/>
    <w:rsid w:val="153C5D2B"/>
    <w:rsid w:val="154D1CD8"/>
    <w:rsid w:val="15652C47"/>
    <w:rsid w:val="156F5593"/>
    <w:rsid w:val="157F434C"/>
    <w:rsid w:val="15802E15"/>
    <w:rsid w:val="158741A4"/>
    <w:rsid w:val="159C27D5"/>
    <w:rsid w:val="15A24411"/>
    <w:rsid w:val="15C339C4"/>
    <w:rsid w:val="15E76688"/>
    <w:rsid w:val="15EB41AD"/>
    <w:rsid w:val="16140797"/>
    <w:rsid w:val="163634D4"/>
    <w:rsid w:val="1642631D"/>
    <w:rsid w:val="16664C15"/>
    <w:rsid w:val="166D7BD1"/>
    <w:rsid w:val="167D324C"/>
    <w:rsid w:val="16F91D10"/>
    <w:rsid w:val="170B670F"/>
    <w:rsid w:val="17120A30"/>
    <w:rsid w:val="173C36E3"/>
    <w:rsid w:val="173F4812"/>
    <w:rsid w:val="17A96398"/>
    <w:rsid w:val="17CB6167"/>
    <w:rsid w:val="17D74E9F"/>
    <w:rsid w:val="17D8502C"/>
    <w:rsid w:val="18062923"/>
    <w:rsid w:val="180723C1"/>
    <w:rsid w:val="181E0269"/>
    <w:rsid w:val="183270B7"/>
    <w:rsid w:val="18371EB1"/>
    <w:rsid w:val="18552337"/>
    <w:rsid w:val="1866465F"/>
    <w:rsid w:val="18775D18"/>
    <w:rsid w:val="189E5076"/>
    <w:rsid w:val="189F1804"/>
    <w:rsid w:val="18B572E7"/>
    <w:rsid w:val="18DA45EA"/>
    <w:rsid w:val="18DC4807"/>
    <w:rsid w:val="18EF453A"/>
    <w:rsid w:val="190A212A"/>
    <w:rsid w:val="19331FFE"/>
    <w:rsid w:val="19961554"/>
    <w:rsid w:val="199B1FCC"/>
    <w:rsid w:val="19AF4C20"/>
    <w:rsid w:val="19C72967"/>
    <w:rsid w:val="19DA63D4"/>
    <w:rsid w:val="19F15564"/>
    <w:rsid w:val="1A1324AA"/>
    <w:rsid w:val="1A147FD0"/>
    <w:rsid w:val="1A3B5B37"/>
    <w:rsid w:val="1A534654"/>
    <w:rsid w:val="1A560936"/>
    <w:rsid w:val="1A73614A"/>
    <w:rsid w:val="1A8A098D"/>
    <w:rsid w:val="1AB35BB9"/>
    <w:rsid w:val="1ACD7F3B"/>
    <w:rsid w:val="1AE850EA"/>
    <w:rsid w:val="1AE93729"/>
    <w:rsid w:val="1AFA71C6"/>
    <w:rsid w:val="1B8B14A9"/>
    <w:rsid w:val="1BB73B40"/>
    <w:rsid w:val="1BBE6445"/>
    <w:rsid w:val="1BCB482B"/>
    <w:rsid w:val="1BF77895"/>
    <w:rsid w:val="1C072E6F"/>
    <w:rsid w:val="1C2F26D0"/>
    <w:rsid w:val="1C4F21EE"/>
    <w:rsid w:val="1C4F3541"/>
    <w:rsid w:val="1C6B1EE2"/>
    <w:rsid w:val="1C7A7834"/>
    <w:rsid w:val="1C920103"/>
    <w:rsid w:val="1CA7072B"/>
    <w:rsid w:val="1CD97065"/>
    <w:rsid w:val="1CE65B38"/>
    <w:rsid w:val="1CEC0D90"/>
    <w:rsid w:val="1D900EC9"/>
    <w:rsid w:val="1D945D21"/>
    <w:rsid w:val="1D947594"/>
    <w:rsid w:val="1D9E5006"/>
    <w:rsid w:val="1DC4239D"/>
    <w:rsid w:val="1DDE2DCF"/>
    <w:rsid w:val="1DE90B59"/>
    <w:rsid w:val="1E057455"/>
    <w:rsid w:val="1E086BAA"/>
    <w:rsid w:val="1E0A5972"/>
    <w:rsid w:val="1E3E561C"/>
    <w:rsid w:val="1E5507A9"/>
    <w:rsid w:val="1E6523D2"/>
    <w:rsid w:val="1E895D18"/>
    <w:rsid w:val="1EBD29E4"/>
    <w:rsid w:val="1EC71895"/>
    <w:rsid w:val="1F0E5F65"/>
    <w:rsid w:val="1F4564AD"/>
    <w:rsid w:val="1F56559A"/>
    <w:rsid w:val="1F7C464D"/>
    <w:rsid w:val="1F7C7D99"/>
    <w:rsid w:val="1F830293"/>
    <w:rsid w:val="1F83778A"/>
    <w:rsid w:val="1FBC4A4A"/>
    <w:rsid w:val="1FD37DBC"/>
    <w:rsid w:val="1FDF5301"/>
    <w:rsid w:val="2008171D"/>
    <w:rsid w:val="200E666E"/>
    <w:rsid w:val="202F68DE"/>
    <w:rsid w:val="204A3B16"/>
    <w:rsid w:val="20781741"/>
    <w:rsid w:val="208B707B"/>
    <w:rsid w:val="208B71DC"/>
    <w:rsid w:val="21014B62"/>
    <w:rsid w:val="21093CD3"/>
    <w:rsid w:val="213F1DD6"/>
    <w:rsid w:val="21406BC7"/>
    <w:rsid w:val="216D06F2"/>
    <w:rsid w:val="21751580"/>
    <w:rsid w:val="21893758"/>
    <w:rsid w:val="21C2657C"/>
    <w:rsid w:val="21D27BAA"/>
    <w:rsid w:val="21F248AF"/>
    <w:rsid w:val="21F72765"/>
    <w:rsid w:val="220628F4"/>
    <w:rsid w:val="222F3BF9"/>
    <w:rsid w:val="22394A78"/>
    <w:rsid w:val="224551CB"/>
    <w:rsid w:val="22462CF1"/>
    <w:rsid w:val="2259278F"/>
    <w:rsid w:val="2281728D"/>
    <w:rsid w:val="228A66B9"/>
    <w:rsid w:val="22B2040F"/>
    <w:rsid w:val="22BD6D8E"/>
    <w:rsid w:val="22FD5AA5"/>
    <w:rsid w:val="230610E1"/>
    <w:rsid w:val="233B65CE"/>
    <w:rsid w:val="234642D1"/>
    <w:rsid w:val="236D65C0"/>
    <w:rsid w:val="238E47D6"/>
    <w:rsid w:val="23951661"/>
    <w:rsid w:val="23F048F1"/>
    <w:rsid w:val="23FA2AB6"/>
    <w:rsid w:val="24207C9D"/>
    <w:rsid w:val="24333213"/>
    <w:rsid w:val="24651B54"/>
    <w:rsid w:val="247578BD"/>
    <w:rsid w:val="24801F86"/>
    <w:rsid w:val="24912155"/>
    <w:rsid w:val="24CF521F"/>
    <w:rsid w:val="24E94533"/>
    <w:rsid w:val="24EA02AB"/>
    <w:rsid w:val="251E582B"/>
    <w:rsid w:val="252A06A8"/>
    <w:rsid w:val="253870D1"/>
    <w:rsid w:val="253B0855"/>
    <w:rsid w:val="25766B00"/>
    <w:rsid w:val="259A75DB"/>
    <w:rsid w:val="25BD6E98"/>
    <w:rsid w:val="25F32F7D"/>
    <w:rsid w:val="25F44D0B"/>
    <w:rsid w:val="25F640CB"/>
    <w:rsid w:val="260C5E43"/>
    <w:rsid w:val="261455E0"/>
    <w:rsid w:val="26473BCF"/>
    <w:rsid w:val="2685424B"/>
    <w:rsid w:val="26A76454"/>
    <w:rsid w:val="26C3198C"/>
    <w:rsid w:val="26E45B7E"/>
    <w:rsid w:val="26EC0E05"/>
    <w:rsid w:val="2714310B"/>
    <w:rsid w:val="273253EF"/>
    <w:rsid w:val="273C1C28"/>
    <w:rsid w:val="27426E9A"/>
    <w:rsid w:val="27502957"/>
    <w:rsid w:val="27792A9C"/>
    <w:rsid w:val="278A2A54"/>
    <w:rsid w:val="27A861DC"/>
    <w:rsid w:val="27D6739B"/>
    <w:rsid w:val="27E45486"/>
    <w:rsid w:val="27EE1E60"/>
    <w:rsid w:val="281600AE"/>
    <w:rsid w:val="2837752A"/>
    <w:rsid w:val="284301CB"/>
    <w:rsid w:val="28493894"/>
    <w:rsid w:val="285148AF"/>
    <w:rsid w:val="2859377E"/>
    <w:rsid w:val="28702875"/>
    <w:rsid w:val="287700A8"/>
    <w:rsid w:val="288976A9"/>
    <w:rsid w:val="28AA47B7"/>
    <w:rsid w:val="28C50E13"/>
    <w:rsid w:val="28C67DBD"/>
    <w:rsid w:val="28DD1F3A"/>
    <w:rsid w:val="28F255B3"/>
    <w:rsid w:val="290C7515"/>
    <w:rsid w:val="292E4C0A"/>
    <w:rsid w:val="293A3114"/>
    <w:rsid w:val="295315DB"/>
    <w:rsid w:val="295E79AC"/>
    <w:rsid w:val="297563EF"/>
    <w:rsid w:val="2A244F0F"/>
    <w:rsid w:val="2A380626"/>
    <w:rsid w:val="2A5C6610"/>
    <w:rsid w:val="2A7523C5"/>
    <w:rsid w:val="2AA13507"/>
    <w:rsid w:val="2AA50CAD"/>
    <w:rsid w:val="2ACC1E6D"/>
    <w:rsid w:val="2AE10F4E"/>
    <w:rsid w:val="2AF55467"/>
    <w:rsid w:val="2AFB3CD2"/>
    <w:rsid w:val="2B3E4EAD"/>
    <w:rsid w:val="2B506B79"/>
    <w:rsid w:val="2B617BEF"/>
    <w:rsid w:val="2B73341E"/>
    <w:rsid w:val="2B955C01"/>
    <w:rsid w:val="2BBF4FE3"/>
    <w:rsid w:val="2BC64E04"/>
    <w:rsid w:val="2BE46021"/>
    <w:rsid w:val="2BEA4D2A"/>
    <w:rsid w:val="2BF043F9"/>
    <w:rsid w:val="2BF974E8"/>
    <w:rsid w:val="2C182420"/>
    <w:rsid w:val="2C4713B4"/>
    <w:rsid w:val="2C500A11"/>
    <w:rsid w:val="2C6D5A4A"/>
    <w:rsid w:val="2C6E3570"/>
    <w:rsid w:val="2C723060"/>
    <w:rsid w:val="2C7566AC"/>
    <w:rsid w:val="2C9B6908"/>
    <w:rsid w:val="2CC633AC"/>
    <w:rsid w:val="2CE975D9"/>
    <w:rsid w:val="2D124F67"/>
    <w:rsid w:val="2D147FE6"/>
    <w:rsid w:val="2D1529B5"/>
    <w:rsid w:val="2D293F80"/>
    <w:rsid w:val="2D417CC1"/>
    <w:rsid w:val="2D7626DC"/>
    <w:rsid w:val="2D842221"/>
    <w:rsid w:val="2DA60AE7"/>
    <w:rsid w:val="2DAA4A7C"/>
    <w:rsid w:val="2E513149"/>
    <w:rsid w:val="2E691AFB"/>
    <w:rsid w:val="2E79695D"/>
    <w:rsid w:val="2E7D4AB9"/>
    <w:rsid w:val="2E9077CD"/>
    <w:rsid w:val="2EF51D26"/>
    <w:rsid w:val="2F041F69"/>
    <w:rsid w:val="2F083808"/>
    <w:rsid w:val="2F0A078F"/>
    <w:rsid w:val="2F0E173A"/>
    <w:rsid w:val="2F17074A"/>
    <w:rsid w:val="2F3E0EE1"/>
    <w:rsid w:val="2F520F27"/>
    <w:rsid w:val="2F776BDF"/>
    <w:rsid w:val="2F8D6ACB"/>
    <w:rsid w:val="2FB971F8"/>
    <w:rsid w:val="2FCA4F61"/>
    <w:rsid w:val="2FCE2CA3"/>
    <w:rsid w:val="2FE626D0"/>
    <w:rsid w:val="3013207A"/>
    <w:rsid w:val="30603DE7"/>
    <w:rsid w:val="306806C6"/>
    <w:rsid w:val="30A74B8B"/>
    <w:rsid w:val="30AA08EF"/>
    <w:rsid w:val="30B71989"/>
    <w:rsid w:val="30E80AAB"/>
    <w:rsid w:val="30FA5E0B"/>
    <w:rsid w:val="310155E8"/>
    <w:rsid w:val="31273C7C"/>
    <w:rsid w:val="3132013A"/>
    <w:rsid w:val="315E3BB3"/>
    <w:rsid w:val="316B5DA2"/>
    <w:rsid w:val="31750335"/>
    <w:rsid w:val="318907B7"/>
    <w:rsid w:val="318908BB"/>
    <w:rsid w:val="318B14D4"/>
    <w:rsid w:val="31A7683A"/>
    <w:rsid w:val="31DE5734"/>
    <w:rsid w:val="32164173"/>
    <w:rsid w:val="321C7AAD"/>
    <w:rsid w:val="325B7664"/>
    <w:rsid w:val="325B7C92"/>
    <w:rsid w:val="326448D2"/>
    <w:rsid w:val="32785148"/>
    <w:rsid w:val="327C687B"/>
    <w:rsid w:val="32914216"/>
    <w:rsid w:val="32975FEF"/>
    <w:rsid w:val="32AD479C"/>
    <w:rsid w:val="32B63F92"/>
    <w:rsid w:val="32C629F1"/>
    <w:rsid w:val="32CD2931"/>
    <w:rsid w:val="33075C1B"/>
    <w:rsid w:val="338E7F7E"/>
    <w:rsid w:val="33B86F6B"/>
    <w:rsid w:val="33C968FE"/>
    <w:rsid w:val="33E74334"/>
    <w:rsid w:val="340D7B12"/>
    <w:rsid w:val="341660A7"/>
    <w:rsid w:val="3442156A"/>
    <w:rsid w:val="344B4466"/>
    <w:rsid w:val="345179FF"/>
    <w:rsid w:val="345B32CF"/>
    <w:rsid w:val="349B3370"/>
    <w:rsid w:val="349E06BB"/>
    <w:rsid w:val="34AB48EA"/>
    <w:rsid w:val="34B85CD0"/>
    <w:rsid w:val="34D46876"/>
    <w:rsid w:val="350B7703"/>
    <w:rsid w:val="356849B2"/>
    <w:rsid w:val="356B2D42"/>
    <w:rsid w:val="357A34CD"/>
    <w:rsid w:val="35971DA0"/>
    <w:rsid w:val="35E13818"/>
    <w:rsid w:val="362178A5"/>
    <w:rsid w:val="36274EBB"/>
    <w:rsid w:val="36315D3A"/>
    <w:rsid w:val="363807BF"/>
    <w:rsid w:val="36525D5D"/>
    <w:rsid w:val="366F12FA"/>
    <w:rsid w:val="3684230E"/>
    <w:rsid w:val="368446E2"/>
    <w:rsid w:val="368470CC"/>
    <w:rsid w:val="36914A2B"/>
    <w:rsid w:val="36C97D20"/>
    <w:rsid w:val="373862ED"/>
    <w:rsid w:val="374442D5"/>
    <w:rsid w:val="37797CB1"/>
    <w:rsid w:val="37886B27"/>
    <w:rsid w:val="37B10421"/>
    <w:rsid w:val="37B42D7F"/>
    <w:rsid w:val="37C329C2"/>
    <w:rsid w:val="37D6506A"/>
    <w:rsid w:val="37DF3574"/>
    <w:rsid w:val="3823519F"/>
    <w:rsid w:val="382451C5"/>
    <w:rsid w:val="38296CA2"/>
    <w:rsid w:val="382A2A41"/>
    <w:rsid w:val="382C4A0B"/>
    <w:rsid w:val="38741F0E"/>
    <w:rsid w:val="3888613F"/>
    <w:rsid w:val="389221BF"/>
    <w:rsid w:val="389E03F3"/>
    <w:rsid w:val="389F396A"/>
    <w:rsid w:val="38A50319"/>
    <w:rsid w:val="38BA3386"/>
    <w:rsid w:val="38D46958"/>
    <w:rsid w:val="38ED3A6E"/>
    <w:rsid w:val="38F36516"/>
    <w:rsid w:val="38FB37E4"/>
    <w:rsid w:val="392F4087"/>
    <w:rsid w:val="3938118D"/>
    <w:rsid w:val="393F175C"/>
    <w:rsid w:val="39427657"/>
    <w:rsid w:val="394469D5"/>
    <w:rsid w:val="3965038E"/>
    <w:rsid w:val="39714788"/>
    <w:rsid w:val="39BE679C"/>
    <w:rsid w:val="39C5280F"/>
    <w:rsid w:val="39C944DB"/>
    <w:rsid w:val="3A0008D4"/>
    <w:rsid w:val="3A391BB5"/>
    <w:rsid w:val="3A39698D"/>
    <w:rsid w:val="3A422495"/>
    <w:rsid w:val="3A4B6C9E"/>
    <w:rsid w:val="3A555D6F"/>
    <w:rsid w:val="3A720DC9"/>
    <w:rsid w:val="3A797A03"/>
    <w:rsid w:val="3A7D7095"/>
    <w:rsid w:val="3A7E7354"/>
    <w:rsid w:val="3A946897"/>
    <w:rsid w:val="3AB94550"/>
    <w:rsid w:val="3AF92745"/>
    <w:rsid w:val="3B014C8E"/>
    <w:rsid w:val="3B074AD8"/>
    <w:rsid w:val="3B0A4DAB"/>
    <w:rsid w:val="3B527BB4"/>
    <w:rsid w:val="3B656BA0"/>
    <w:rsid w:val="3BBC15D8"/>
    <w:rsid w:val="3BC85C68"/>
    <w:rsid w:val="3BD72EE0"/>
    <w:rsid w:val="3BD97ED3"/>
    <w:rsid w:val="3BE24894"/>
    <w:rsid w:val="3C057493"/>
    <w:rsid w:val="3C104FED"/>
    <w:rsid w:val="3C26231C"/>
    <w:rsid w:val="3C6842C1"/>
    <w:rsid w:val="3CCD7710"/>
    <w:rsid w:val="3CDE0323"/>
    <w:rsid w:val="3CF03B2D"/>
    <w:rsid w:val="3D1179E3"/>
    <w:rsid w:val="3D133698"/>
    <w:rsid w:val="3D24536E"/>
    <w:rsid w:val="3D485717"/>
    <w:rsid w:val="3DD05E38"/>
    <w:rsid w:val="3DD86812"/>
    <w:rsid w:val="3E157A8B"/>
    <w:rsid w:val="3E391C30"/>
    <w:rsid w:val="3E532C78"/>
    <w:rsid w:val="3E573E64"/>
    <w:rsid w:val="3E682515"/>
    <w:rsid w:val="3E6C7FED"/>
    <w:rsid w:val="3EA936E3"/>
    <w:rsid w:val="3EDE4585"/>
    <w:rsid w:val="3F081628"/>
    <w:rsid w:val="3F162E33"/>
    <w:rsid w:val="3F254886"/>
    <w:rsid w:val="3F283A52"/>
    <w:rsid w:val="3F2D6B4E"/>
    <w:rsid w:val="3F470961"/>
    <w:rsid w:val="3F6D76B7"/>
    <w:rsid w:val="3FA806EF"/>
    <w:rsid w:val="3FC02980"/>
    <w:rsid w:val="3FD87226"/>
    <w:rsid w:val="3FE27359"/>
    <w:rsid w:val="40584E47"/>
    <w:rsid w:val="405C1C05"/>
    <w:rsid w:val="406812E1"/>
    <w:rsid w:val="406E008F"/>
    <w:rsid w:val="40786313"/>
    <w:rsid w:val="407B776B"/>
    <w:rsid w:val="4084115C"/>
    <w:rsid w:val="40C31C84"/>
    <w:rsid w:val="40E364C1"/>
    <w:rsid w:val="40F672B4"/>
    <w:rsid w:val="410C1D26"/>
    <w:rsid w:val="410E2311"/>
    <w:rsid w:val="41246E91"/>
    <w:rsid w:val="413B121A"/>
    <w:rsid w:val="41566655"/>
    <w:rsid w:val="416A7C0C"/>
    <w:rsid w:val="417D2F45"/>
    <w:rsid w:val="41835D39"/>
    <w:rsid w:val="4194035A"/>
    <w:rsid w:val="41991EA9"/>
    <w:rsid w:val="41C63C81"/>
    <w:rsid w:val="420605C9"/>
    <w:rsid w:val="420631CF"/>
    <w:rsid w:val="42134546"/>
    <w:rsid w:val="421B2A22"/>
    <w:rsid w:val="423F7F21"/>
    <w:rsid w:val="4246491B"/>
    <w:rsid w:val="426D00FA"/>
    <w:rsid w:val="42A67168"/>
    <w:rsid w:val="42B008DB"/>
    <w:rsid w:val="42D75C8A"/>
    <w:rsid w:val="42E77296"/>
    <w:rsid w:val="43000F6E"/>
    <w:rsid w:val="430A30E4"/>
    <w:rsid w:val="431E7D88"/>
    <w:rsid w:val="43240D1D"/>
    <w:rsid w:val="437A3BAA"/>
    <w:rsid w:val="437C2A5F"/>
    <w:rsid w:val="43BA4338"/>
    <w:rsid w:val="43C7383A"/>
    <w:rsid w:val="43D8428B"/>
    <w:rsid w:val="43E87317"/>
    <w:rsid w:val="44024872"/>
    <w:rsid w:val="44102007"/>
    <w:rsid w:val="441B5933"/>
    <w:rsid w:val="44380293"/>
    <w:rsid w:val="443D3AFC"/>
    <w:rsid w:val="445C230A"/>
    <w:rsid w:val="44606717"/>
    <w:rsid w:val="44A228C0"/>
    <w:rsid w:val="44CB1108"/>
    <w:rsid w:val="44FF7003"/>
    <w:rsid w:val="45232CF2"/>
    <w:rsid w:val="45390767"/>
    <w:rsid w:val="453E18DA"/>
    <w:rsid w:val="45560C18"/>
    <w:rsid w:val="456E42AF"/>
    <w:rsid w:val="459F1CC8"/>
    <w:rsid w:val="45BE0E9B"/>
    <w:rsid w:val="45E61FA9"/>
    <w:rsid w:val="45EC57D9"/>
    <w:rsid w:val="464078D3"/>
    <w:rsid w:val="46446DB9"/>
    <w:rsid w:val="465A6BE7"/>
    <w:rsid w:val="4669507C"/>
    <w:rsid w:val="46717A8D"/>
    <w:rsid w:val="469344A7"/>
    <w:rsid w:val="469D4D26"/>
    <w:rsid w:val="46B67B95"/>
    <w:rsid w:val="46B71543"/>
    <w:rsid w:val="46C6427C"/>
    <w:rsid w:val="46C91677"/>
    <w:rsid w:val="46CD608A"/>
    <w:rsid w:val="46D154EC"/>
    <w:rsid w:val="46D56C74"/>
    <w:rsid w:val="47475B31"/>
    <w:rsid w:val="4766336A"/>
    <w:rsid w:val="4771782C"/>
    <w:rsid w:val="47745A86"/>
    <w:rsid w:val="478C3ABA"/>
    <w:rsid w:val="47C32EA0"/>
    <w:rsid w:val="47F72214"/>
    <w:rsid w:val="47FC4FAF"/>
    <w:rsid w:val="47FE0C41"/>
    <w:rsid w:val="48150129"/>
    <w:rsid w:val="482D5906"/>
    <w:rsid w:val="4836354A"/>
    <w:rsid w:val="483D056E"/>
    <w:rsid w:val="48A44149"/>
    <w:rsid w:val="48CC36A0"/>
    <w:rsid w:val="48D1030C"/>
    <w:rsid w:val="48DE5895"/>
    <w:rsid w:val="48F50E49"/>
    <w:rsid w:val="48FD1AAC"/>
    <w:rsid w:val="491B121D"/>
    <w:rsid w:val="491C74E6"/>
    <w:rsid w:val="491D01E1"/>
    <w:rsid w:val="49440D76"/>
    <w:rsid w:val="49CA5E32"/>
    <w:rsid w:val="49CC3AB4"/>
    <w:rsid w:val="49F20EE5"/>
    <w:rsid w:val="4A191C66"/>
    <w:rsid w:val="4A1946C3"/>
    <w:rsid w:val="4A396B13"/>
    <w:rsid w:val="4A42614C"/>
    <w:rsid w:val="4A6F2505"/>
    <w:rsid w:val="4A802994"/>
    <w:rsid w:val="4A987CDE"/>
    <w:rsid w:val="4AB37333"/>
    <w:rsid w:val="4AFA1F4C"/>
    <w:rsid w:val="4B50680B"/>
    <w:rsid w:val="4B525524"/>
    <w:rsid w:val="4B5E0F27"/>
    <w:rsid w:val="4B61670E"/>
    <w:rsid w:val="4B8D6426"/>
    <w:rsid w:val="4B8F44C2"/>
    <w:rsid w:val="4BDE443E"/>
    <w:rsid w:val="4BE9283E"/>
    <w:rsid w:val="4BED22AB"/>
    <w:rsid w:val="4BFA3A6B"/>
    <w:rsid w:val="4C2D08FA"/>
    <w:rsid w:val="4C616242"/>
    <w:rsid w:val="4C824869"/>
    <w:rsid w:val="4C9177F3"/>
    <w:rsid w:val="4CA0731E"/>
    <w:rsid w:val="4CB1678E"/>
    <w:rsid w:val="4CB96F72"/>
    <w:rsid w:val="4CEB398E"/>
    <w:rsid w:val="4D02015C"/>
    <w:rsid w:val="4D101A4A"/>
    <w:rsid w:val="4D12706E"/>
    <w:rsid w:val="4D1A2C2C"/>
    <w:rsid w:val="4D1E2F93"/>
    <w:rsid w:val="4D311F51"/>
    <w:rsid w:val="4D357A66"/>
    <w:rsid w:val="4D3F058B"/>
    <w:rsid w:val="4D500899"/>
    <w:rsid w:val="4D8B13F7"/>
    <w:rsid w:val="4D9329DF"/>
    <w:rsid w:val="4D9D560B"/>
    <w:rsid w:val="4D9F660C"/>
    <w:rsid w:val="4DB44250"/>
    <w:rsid w:val="4DF25796"/>
    <w:rsid w:val="4E3917D8"/>
    <w:rsid w:val="4E402859"/>
    <w:rsid w:val="4E4F3F85"/>
    <w:rsid w:val="4E5C137A"/>
    <w:rsid w:val="4E5D6896"/>
    <w:rsid w:val="4E6A1991"/>
    <w:rsid w:val="4E95558B"/>
    <w:rsid w:val="4EA824BA"/>
    <w:rsid w:val="4EEA326C"/>
    <w:rsid w:val="4EF423D9"/>
    <w:rsid w:val="4F2E6E63"/>
    <w:rsid w:val="4F646488"/>
    <w:rsid w:val="4FAE58AE"/>
    <w:rsid w:val="4FB21842"/>
    <w:rsid w:val="4FC7696F"/>
    <w:rsid w:val="4FF3675E"/>
    <w:rsid w:val="4FFE7714"/>
    <w:rsid w:val="4FFF080A"/>
    <w:rsid w:val="500208F8"/>
    <w:rsid w:val="50021A09"/>
    <w:rsid w:val="502913D8"/>
    <w:rsid w:val="503C4C0D"/>
    <w:rsid w:val="50627095"/>
    <w:rsid w:val="506348EA"/>
    <w:rsid w:val="508E6646"/>
    <w:rsid w:val="50DD30F5"/>
    <w:rsid w:val="50E27F05"/>
    <w:rsid w:val="50E372AE"/>
    <w:rsid w:val="50E53551"/>
    <w:rsid w:val="51081306"/>
    <w:rsid w:val="51175971"/>
    <w:rsid w:val="514457A8"/>
    <w:rsid w:val="517373D5"/>
    <w:rsid w:val="51984A67"/>
    <w:rsid w:val="519915B2"/>
    <w:rsid w:val="51BF0246"/>
    <w:rsid w:val="51CE1AF6"/>
    <w:rsid w:val="52075749"/>
    <w:rsid w:val="52377DDC"/>
    <w:rsid w:val="5246558F"/>
    <w:rsid w:val="528079D5"/>
    <w:rsid w:val="52831274"/>
    <w:rsid w:val="52892C07"/>
    <w:rsid w:val="52A15B9E"/>
    <w:rsid w:val="52BE427D"/>
    <w:rsid w:val="53094D8E"/>
    <w:rsid w:val="53191BD8"/>
    <w:rsid w:val="53282859"/>
    <w:rsid w:val="53291D2B"/>
    <w:rsid w:val="534D3630"/>
    <w:rsid w:val="53527BCB"/>
    <w:rsid w:val="53637312"/>
    <w:rsid w:val="537A2677"/>
    <w:rsid w:val="539E7912"/>
    <w:rsid w:val="53A66CF3"/>
    <w:rsid w:val="53AD4983"/>
    <w:rsid w:val="53C15D4E"/>
    <w:rsid w:val="540637AC"/>
    <w:rsid w:val="545A3089"/>
    <w:rsid w:val="5463310B"/>
    <w:rsid w:val="546C3796"/>
    <w:rsid w:val="547846DC"/>
    <w:rsid w:val="54B70791"/>
    <w:rsid w:val="54D062C6"/>
    <w:rsid w:val="54E112D0"/>
    <w:rsid w:val="55056B53"/>
    <w:rsid w:val="550C3275"/>
    <w:rsid w:val="551E18AA"/>
    <w:rsid w:val="552673A4"/>
    <w:rsid w:val="553625CD"/>
    <w:rsid w:val="55402584"/>
    <w:rsid w:val="55425416"/>
    <w:rsid w:val="55911EF9"/>
    <w:rsid w:val="55B67FA4"/>
    <w:rsid w:val="55CE0A58"/>
    <w:rsid w:val="55D220B3"/>
    <w:rsid w:val="55EB75D0"/>
    <w:rsid w:val="564263C8"/>
    <w:rsid w:val="56636DE7"/>
    <w:rsid w:val="566B73CB"/>
    <w:rsid w:val="567A1FFC"/>
    <w:rsid w:val="56A14FF8"/>
    <w:rsid w:val="56B202F7"/>
    <w:rsid w:val="56EF512A"/>
    <w:rsid w:val="572172AD"/>
    <w:rsid w:val="57C725A4"/>
    <w:rsid w:val="57DD31D4"/>
    <w:rsid w:val="57EA58F1"/>
    <w:rsid w:val="580070BF"/>
    <w:rsid w:val="580E6C54"/>
    <w:rsid w:val="585E670C"/>
    <w:rsid w:val="586C4558"/>
    <w:rsid w:val="58801597"/>
    <w:rsid w:val="58922AAF"/>
    <w:rsid w:val="589C4E3D"/>
    <w:rsid w:val="58A001D6"/>
    <w:rsid w:val="58A66A88"/>
    <w:rsid w:val="58CC66DE"/>
    <w:rsid w:val="58DD1881"/>
    <w:rsid w:val="591F6322"/>
    <w:rsid w:val="592A3DBD"/>
    <w:rsid w:val="597C4620"/>
    <w:rsid w:val="598915F1"/>
    <w:rsid w:val="59A71CEC"/>
    <w:rsid w:val="59C75EEA"/>
    <w:rsid w:val="59D10B16"/>
    <w:rsid w:val="59D95C1D"/>
    <w:rsid w:val="5A14680F"/>
    <w:rsid w:val="5A2B5127"/>
    <w:rsid w:val="5A403EEE"/>
    <w:rsid w:val="5A711835"/>
    <w:rsid w:val="5A9F2A8D"/>
    <w:rsid w:val="5AC44CFF"/>
    <w:rsid w:val="5AC4754B"/>
    <w:rsid w:val="5ADF2144"/>
    <w:rsid w:val="5AE825BC"/>
    <w:rsid w:val="5AF26F96"/>
    <w:rsid w:val="5B0D765F"/>
    <w:rsid w:val="5B1D643D"/>
    <w:rsid w:val="5B2555BE"/>
    <w:rsid w:val="5B503CBD"/>
    <w:rsid w:val="5B6B6D49"/>
    <w:rsid w:val="5B70610D"/>
    <w:rsid w:val="5B726827"/>
    <w:rsid w:val="5B834092"/>
    <w:rsid w:val="5B891C7C"/>
    <w:rsid w:val="5BA858A7"/>
    <w:rsid w:val="5BBA55DA"/>
    <w:rsid w:val="5BC05B1A"/>
    <w:rsid w:val="5BEC2315"/>
    <w:rsid w:val="5C2118F1"/>
    <w:rsid w:val="5C227403"/>
    <w:rsid w:val="5C58107B"/>
    <w:rsid w:val="5C614602"/>
    <w:rsid w:val="5D2A656C"/>
    <w:rsid w:val="5D310E6C"/>
    <w:rsid w:val="5D4F4A7D"/>
    <w:rsid w:val="5D55571F"/>
    <w:rsid w:val="5D856DB5"/>
    <w:rsid w:val="5DCA5FA9"/>
    <w:rsid w:val="5DE01178"/>
    <w:rsid w:val="5DF9063C"/>
    <w:rsid w:val="5E0438E9"/>
    <w:rsid w:val="5E55035A"/>
    <w:rsid w:val="5E5D0BCB"/>
    <w:rsid w:val="5E681B17"/>
    <w:rsid w:val="5E7F6421"/>
    <w:rsid w:val="5E827D40"/>
    <w:rsid w:val="5EA04F5B"/>
    <w:rsid w:val="5EBC5E95"/>
    <w:rsid w:val="5EE61F13"/>
    <w:rsid w:val="5EEE3F19"/>
    <w:rsid w:val="5EF14391"/>
    <w:rsid w:val="5F3C5C05"/>
    <w:rsid w:val="5F505D9E"/>
    <w:rsid w:val="5F5A335C"/>
    <w:rsid w:val="5F694B62"/>
    <w:rsid w:val="5F864151"/>
    <w:rsid w:val="5FCF1C6D"/>
    <w:rsid w:val="5FD13A2F"/>
    <w:rsid w:val="5FD32E56"/>
    <w:rsid w:val="60092646"/>
    <w:rsid w:val="602A2D2E"/>
    <w:rsid w:val="607C4315"/>
    <w:rsid w:val="60863D99"/>
    <w:rsid w:val="60870181"/>
    <w:rsid w:val="60FD22E8"/>
    <w:rsid w:val="616E30EF"/>
    <w:rsid w:val="61903065"/>
    <w:rsid w:val="61BD1D0E"/>
    <w:rsid w:val="61E11B13"/>
    <w:rsid w:val="61F179D9"/>
    <w:rsid w:val="621219E2"/>
    <w:rsid w:val="625271B2"/>
    <w:rsid w:val="62586279"/>
    <w:rsid w:val="625A7172"/>
    <w:rsid w:val="626F06C0"/>
    <w:rsid w:val="62717B07"/>
    <w:rsid w:val="630006BE"/>
    <w:rsid w:val="630F044C"/>
    <w:rsid w:val="631F136E"/>
    <w:rsid w:val="63544DA0"/>
    <w:rsid w:val="635E0389"/>
    <w:rsid w:val="636D5665"/>
    <w:rsid w:val="63974B7F"/>
    <w:rsid w:val="63D017A4"/>
    <w:rsid w:val="63ED0C43"/>
    <w:rsid w:val="63F2026A"/>
    <w:rsid w:val="63FC0E86"/>
    <w:rsid w:val="64264155"/>
    <w:rsid w:val="64406FC4"/>
    <w:rsid w:val="644115AA"/>
    <w:rsid w:val="644665A5"/>
    <w:rsid w:val="645C1924"/>
    <w:rsid w:val="646A5DEF"/>
    <w:rsid w:val="646F1187"/>
    <w:rsid w:val="64760F48"/>
    <w:rsid w:val="64B92960"/>
    <w:rsid w:val="64BB5C03"/>
    <w:rsid w:val="64CC0858"/>
    <w:rsid w:val="64F90076"/>
    <w:rsid w:val="64FD3107"/>
    <w:rsid w:val="6509726D"/>
    <w:rsid w:val="650D2C1F"/>
    <w:rsid w:val="65362175"/>
    <w:rsid w:val="65585CE7"/>
    <w:rsid w:val="655B398A"/>
    <w:rsid w:val="655F4C96"/>
    <w:rsid w:val="6562740E"/>
    <w:rsid w:val="6564028E"/>
    <w:rsid w:val="656B62C3"/>
    <w:rsid w:val="6597200A"/>
    <w:rsid w:val="65B337C6"/>
    <w:rsid w:val="65C31AFB"/>
    <w:rsid w:val="65DD1C4A"/>
    <w:rsid w:val="65E34B57"/>
    <w:rsid w:val="65EB7404"/>
    <w:rsid w:val="65FF07B9"/>
    <w:rsid w:val="661478D1"/>
    <w:rsid w:val="663162C7"/>
    <w:rsid w:val="66395468"/>
    <w:rsid w:val="66595251"/>
    <w:rsid w:val="667B3682"/>
    <w:rsid w:val="667C62AE"/>
    <w:rsid w:val="66AD6DFD"/>
    <w:rsid w:val="66E845E5"/>
    <w:rsid w:val="66F01C71"/>
    <w:rsid w:val="671E495B"/>
    <w:rsid w:val="676905E0"/>
    <w:rsid w:val="678F485E"/>
    <w:rsid w:val="679A6239"/>
    <w:rsid w:val="67C27CF0"/>
    <w:rsid w:val="67CE046D"/>
    <w:rsid w:val="67E4283D"/>
    <w:rsid w:val="680F0223"/>
    <w:rsid w:val="68152516"/>
    <w:rsid w:val="6818232F"/>
    <w:rsid w:val="683809C0"/>
    <w:rsid w:val="683F57E5"/>
    <w:rsid w:val="68537232"/>
    <w:rsid w:val="68951BF3"/>
    <w:rsid w:val="689815FB"/>
    <w:rsid w:val="68B24209"/>
    <w:rsid w:val="68C72930"/>
    <w:rsid w:val="68C8157C"/>
    <w:rsid w:val="68C8407A"/>
    <w:rsid w:val="69091F77"/>
    <w:rsid w:val="690F51B7"/>
    <w:rsid w:val="69126100"/>
    <w:rsid w:val="691A1F33"/>
    <w:rsid w:val="6929213B"/>
    <w:rsid w:val="69320EA6"/>
    <w:rsid w:val="693B7D5A"/>
    <w:rsid w:val="694A4AAF"/>
    <w:rsid w:val="695A4057"/>
    <w:rsid w:val="69683A1C"/>
    <w:rsid w:val="696E6382"/>
    <w:rsid w:val="698C2CAC"/>
    <w:rsid w:val="699F29DF"/>
    <w:rsid w:val="699F55F6"/>
    <w:rsid w:val="69D873FE"/>
    <w:rsid w:val="69DD56D2"/>
    <w:rsid w:val="6A242EE4"/>
    <w:rsid w:val="6A252FEE"/>
    <w:rsid w:val="6A5A380F"/>
    <w:rsid w:val="6A737F44"/>
    <w:rsid w:val="6A896558"/>
    <w:rsid w:val="6A8E65B0"/>
    <w:rsid w:val="6AA33FDC"/>
    <w:rsid w:val="6AA822B1"/>
    <w:rsid w:val="6AB26742"/>
    <w:rsid w:val="6AD36C4D"/>
    <w:rsid w:val="6ADD3341"/>
    <w:rsid w:val="6ADF0BB9"/>
    <w:rsid w:val="6AFD0CCB"/>
    <w:rsid w:val="6B1B42E7"/>
    <w:rsid w:val="6B241ED9"/>
    <w:rsid w:val="6B480E55"/>
    <w:rsid w:val="6B9419A4"/>
    <w:rsid w:val="6BAB2D0D"/>
    <w:rsid w:val="6BBB79A5"/>
    <w:rsid w:val="6BD66460"/>
    <w:rsid w:val="6C032806"/>
    <w:rsid w:val="6C081755"/>
    <w:rsid w:val="6C0A7EB8"/>
    <w:rsid w:val="6C3D2EA4"/>
    <w:rsid w:val="6C44302C"/>
    <w:rsid w:val="6C88775B"/>
    <w:rsid w:val="6CCA1906"/>
    <w:rsid w:val="6CD030B0"/>
    <w:rsid w:val="6CDC5923"/>
    <w:rsid w:val="6CE46DAD"/>
    <w:rsid w:val="6CF930B2"/>
    <w:rsid w:val="6CFA0F7F"/>
    <w:rsid w:val="6D203E37"/>
    <w:rsid w:val="6D312902"/>
    <w:rsid w:val="6D601ABD"/>
    <w:rsid w:val="6D7101EF"/>
    <w:rsid w:val="6D8810F5"/>
    <w:rsid w:val="6DA51185"/>
    <w:rsid w:val="6DD662A4"/>
    <w:rsid w:val="6E03457D"/>
    <w:rsid w:val="6E281865"/>
    <w:rsid w:val="6E376AF5"/>
    <w:rsid w:val="6E5E2C28"/>
    <w:rsid w:val="6EA75E18"/>
    <w:rsid w:val="6EB34CE0"/>
    <w:rsid w:val="6EE4599E"/>
    <w:rsid w:val="6EFC1D3A"/>
    <w:rsid w:val="6F256E49"/>
    <w:rsid w:val="6F376BF2"/>
    <w:rsid w:val="6F4A0F8F"/>
    <w:rsid w:val="6F6F7D2B"/>
    <w:rsid w:val="6F945ADC"/>
    <w:rsid w:val="6F946416"/>
    <w:rsid w:val="6F995775"/>
    <w:rsid w:val="6FAA79E8"/>
    <w:rsid w:val="6FD0375B"/>
    <w:rsid w:val="70366B60"/>
    <w:rsid w:val="703C3BEE"/>
    <w:rsid w:val="703D2A37"/>
    <w:rsid w:val="704D3724"/>
    <w:rsid w:val="70622071"/>
    <w:rsid w:val="70B61A11"/>
    <w:rsid w:val="70F22B5B"/>
    <w:rsid w:val="71063FDB"/>
    <w:rsid w:val="713A6E56"/>
    <w:rsid w:val="7146374D"/>
    <w:rsid w:val="714C726A"/>
    <w:rsid w:val="71526589"/>
    <w:rsid w:val="71CE5E49"/>
    <w:rsid w:val="71E014AE"/>
    <w:rsid w:val="720917DF"/>
    <w:rsid w:val="72484ED1"/>
    <w:rsid w:val="727147ED"/>
    <w:rsid w:val="72866B42"/>
    <w:rsid w:val="72893A71"/>
    <w:rsid w:val="729B055B"/>
    <w:rsid w:val="72D4075D"/>
    <w:rsid w:val="72ED7C57"/>
    <w:rsid w:val="732841BC"/>
    <w:rsid w:val="738537F8"/>
    <w:rsid w:val="73DA3E1F"/>
    <w:rsid w:val="73E6419E"/>
    <w:rsid w:val="73EB0B2F"/>
    <w:rsid w:val="740026B1"/>
    <w:rsid w:val="740266CF"/>
    <w:rsid w:val="742C1313"/>
    <w:rsid w:val="744363E6"/>
    <w:rsid w:val="7443665D"/>
    <w:rsid w:val="74454183"/>
    <w:rsid w:val="74545293"/>
    <w:rsid w:val="74650381"/>
    <w:rsid w:val="74755F9D"/>
    <w:rsid w:val="74865EAE"/>
    <w:rsid w:val="74BB1F6C"/>
    <w:rsid w:val="74C23A26"/>
    <w:rsid w:val="74D04D8D"/>
    <w:rsid w:val="74DF0134"/>
    <w:rsid w:val="74F045B5"/>
    <w:rsid w:val="7505195F"/>
    <w:rsid w:val="75150722"/>
    <w:rsid w:val="7530272E"/>
    <w:rsid w:val="75671ED7"/>
    <w:rsid w:val="75AA2ED6"/>
    <w:rsid w:val="75B43442"/>
    <w:rsid w:val="75FE283B"/>
    <w:rsid w:val="7608190C"/>
    <w:rsid w:val="766B0315"/>
    <w:rsid w:val="76780840"/>
    <w:rsid w:val="767842D3"/>
    <w:rsid w:val="76A96C4B"/>
    <w:rsid w:val="76F0348B"/>
    <w:rsid w:val="76FA18F8"/>
    <w:rsid w:val="770B729F"/>
    <w:rsid w:val="774C626B"/>
    <w:rsid w:val="7764775E"/>
    <w:rsid w:val="77685882"/>
    <w:rsid w:val="779713BF"/>
    <w:rsid w:val="77F76B9C"/>
    <w:rsid w:val="77F9150C"/>
    <w:rsid w:val="77FF6D46"/>
    <w:rsid w:val="781225CE"/>
    <w:rsid w:val="781C0245"/>
    <w:rsid w:val="781E0E4F"/>
    <w:rsid w:val="782D1878"/>
    <w:rsid w:val="782F1152"/>
    <w:rsid w:val="787C078D"/>
    <w:rsid w:val="78B020B3"/>
    <w:rsid w:val="78B4796A"/>
    <w:rsid w:val="78B67C22"/>
    <w:rsid w:val="78E00FB0"/>
    <w:rsid w:val="79051B31"/>
    <w:rsid w:val="79345E7A"/>
    <w:rsid w:val="79762F6A"/>
    <w:rsid w:val="79D90ACD"/>
    <w:rsid w:val="7A3410D9"/>
    <w:rsid w:val="7A445485"/>
    <w:rsid w:val="7A4647B1"/>
    <w:rsid w:val="7A5F3427"/>
    <w:rsid w:val="7A7C01D3"/>
    <w:rsid w:val="7AAD2A82"/>
    <w:rsid w:val="7AC140DB"/>
    <w:rsid w:val="7AC53071"/>
    <w:rsid w:val="7AD45352"/>
    <w:rsid w:val="7AEE255C"/>
    <w:rsid w:val="7AFC2EE7"/>
    <w:rsid w:val="7B4B653B"/>
    <w:rsid w:val="7B4C21E4"/>
    <w:rsid w:val="7B615509"/>
    <w:rsid w:val="7B700C5B"/>
    <w:rsid w:val="7B91476C"/>
    <w:rsid w:val="7B9D4014"/>
    <w:rsid w:val="7B9F061D"/>
    <w:rsid w:val="7BA93249"/>
    <w:rsid w:val="7BA96ACB"/>
    <w:rsid w:val="7BB8348D"/>
    <w:rsid w:val="7BC40083"/>
    <w:rsid w:val="7C105077"/>
    <w:rsid w:val="7C4A4A2C"/>
    <w:rsid w:val="7C6B34DE"/>
    <w:rsid w:val="7C711D61"/>
    <w:rsid w:val="7C794503"/>
    <w:rsid w:val="7C7E46D6"/>
    <w:rsid w:val="7C886851"/>
    <w:rsid w:val="7CA0464C"/>
    <w:rsid w:val="7CB222D1"/>
    <w:rsid w:val="7CB65C1E"/>
    <w:rsid w:val="7CBD4EC7"/>
    <w:rsid w:val="7D1312C2"/>
    <w:rsid w:val="7D1D5C9D"/>
    <w:rsid w:val="7D976E67"/>
    <w:rsid w:val="7D9B4E14"/>
    <w:rsid w:val="7DB91841"/>
    <w:rsid w:val="7DD23F1C"/>
    <w:rsid w:val="7DED3D0A"/>
    <w:rsid w:val="7E040C0B"/>
    <w:rsid w:val="7E083A1E"/>
    <w:rsid w:val="7E12157A"/>
    <w:rsid w:val="7E3A462D"/>
    <w:rsid w:val="7E4A4E4F"/>
    <w:rsid w:val="7E4A7753"/>
    <w:rsid w:val="7E543D25"/>
    <w:rsid w:val="7ED405DD"/>
    <w:rsid w:val="7EE5652C"/>
    <w:rsid w:val="7EEF0857"/>
    <w:rsid w:val="7F1E7AAB"/>
    <w:rsid w:val="7F233EAD"/>
    <w:rsid w:val="7F252F6D"/>
    <w:rsid w:val="7F913AC8"/>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qFormat="1" w:unhideWhenUsed="0" w:uiPriority="99" w:semiHidden="0" w:name="Body Text First Indent 2"/>
    <w:lsdException w:uiPriority="0" w:name="Note Heading"/>
    <w:lsdException w:qFormat="1" w:uiPriority="99"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7"/>
    <w:qFormat/>
    <w:uiPriority w:val="0"/>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5"/>
    <w:basedOn w:val="1"/>
    <w:next w:val="1"/>
    <w:link w:val="48"/>
    <w:semiHidden/>
    <w:unhideWhenUsed/>
    <w:qFormat/>
    <w:uiPriority w:val="9"/>
    <w:pPr>
      <w:keepNext/>
      <w:keepLines/>
      <w:spacing w:before="280" w:after="290" w:line="376" w:lineRule="auto"/>
      <w:outlineLvl w:val="4"/>
    </w:pPr>
    <w:rPr>
      <w:rFonts w:ascii="Times New Roman" w:hAnsi="Times New Roman" w:eastAsia="宋体" w:cs="Times New Roman"/>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00" w:leftChars="400" w:hanging="200" w:hangingChars="200"/>
    </w:pPr>
  </w:style>
  <w:style w:type="paragraph" w:styleId="6">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7">
    <w:name w:val="caption"/>
    <w:basedOn w:val="1"/>
    <w:next w:val="1"/>
    <w:unhideWhenUsed/>
    <w:qFormat/>
    <w:uiPriority w:val="0"/>
    <w:pPr>
      <w:spacing w:before="152" w:after="160"/>
    </w:pPr>
    <w:rPr>
      <w:rFonts w:ascii="Arial" w:hAnsi="Arial" w:eastAsia="黑体" w:cs="Arial"/>
      <w:sz w:val="20"/>
      <w:szCs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rPr>
      <w:rFonts w:eastAsia="宋体"/>
    </w:rPr>
  </w:style>
  <w:style w:type="paragraph" w:styleId="10">
    <w:name w:val="Body Text Indent"/>
    <w:basedOn w:val="1"/>
    <w:next w:val="11"/>
    <w:link w:val="47"/>
    <w:qFormat/>
    <w:uiPriority w:val="0"/>
    <w:pPr>
      <w:spacing w:line="500" w:lineRule="exact"/>
      <w:ind w:left="1588" w:leftChars="832" w:firstLine="433" w:firstLineChars="196"/>
    </w:pPr>
    <w:rPr>
      <w:sz w:val="24"/>
    </w:rPr>
  </w:style>
  <w:style w:type="paragraph" w:styleId="11">
    <w:name w:val="envelope return"/>
    <w:basedOn w:val="1"/>
    <w:qFormat/>
    <w:uiPriority w:val="0"/>
    <w:pPr>
      <w:snapToGrid w:val="0"/>
    </w:pPr>
    <w:rPr>
      <w:rFonts w:ascii="Arial" w:hAnsi="Arial"/>
    </w:rPr>
  </w:style>
  <w:style w:type="paragraph" w:styleId="12">
    <w:name w:val="List 2"/>
    <w:basedOn w:val="1"/>
    <w:qFormat/>
    <w:uiPriority w:val="0"/>
    <w:pPr>
      <w:ind w:left="100" w:leftChars="200" w:hanging="200" w:hangingChars="200"/>
    </w:pPr>
  </w:style>
  <w:style w:type="paragraph" w:styleId="13">
    <w:name w:val="index 4"/>
    <w:basedOn w:val="1"/>
    <w:next w:val="1"/>
    <w:qFormat/>
    <w:uiPriority w:val="0"/>
    <w:pPr>
      <w:ind w:left="600" w:leftChars="600" w:firstLine="560" w:firstLineChars="200"/>
    </w:pPr>
    <w:rPr>
      <w:rFonts w:ascii="宋体" w:hAnsi="宋体" w:cs="宋体"/>
      <w:szCs w:val="21"/>
    </w:rPr>
  </w:style>
  <w:style w:type="paragraph" w:styleId="14">
    <w:name w:val="Plain Text"/>
    <w:basedOn w:val="1"/>
    <w:link w:val="36"/>
    <w:qFormat/>
    <w:uiPriority w:val="0"/>
    <w:rPr>
      <w:rFonts w:ascii="宋体" w:hAnsi="Courier New" w:eastAsia="宋体"/>
    </w:rPr>
  </w:style>
  <w:style w:type="paragraph" w:styleId="15">
    <w:name w:val="Body Text Indent 2"/>
    <w:basedOn w:val="1"/>
    <w:qFormat/>
    <w:uiPriority w:val="0"/>
    <w:pPr>
      <w:spacing w:line="500" w:lineRule="exact"/>
      <w:ind w:firstLine="442" w:firstLineChars="200"/>
    </w:pPr>
    <w:rPr>
      <w:sz w:val="24"/>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unhideWhenUsed/>
    <w:qFormat/>
    <w:uiPriority w:val="99"/>
    <w:pPr>
      <w:snapToGrid w:val="0"/>
      <w:jc w:val="left"/>
    </w:pPr>
    <w:rPr>
      <w:sz w:val="18"/>
      <w:szCs w:val="18"/>
    </w:rPr>
  </w:style>
  <w:style w:type="paragraph" w:styleId="20">
    <w:name w:val="toc 2"/>
    <w:basedOn w:val="1"/>
    <w:next w:val="1"/>
    <w:semiHidden/>
    <w:unhideWhenUsed/>
    <w:qFormat/>
    <w:uiPriority w:val="0"/>
    <w:pPr>
      <w:ind w:left="420" w:leftChars="200"/>
    </w:pPr>
  </w:style>
  <w:style w:type="paragraph" w:styleId="21">
    <w:name w:val="Body Text 2"/>
    <w:basedOn w:val="1"/>
    <w:link w:val="46"/>
    <w:semiHidden/>
    <w:unhideWhenUsed/>
    <w:qFormat/>
    <w:uiPriority w:val="99"/>
    <w:pPr>
      <w:spacing w:after="120" w:line="480" w:lineRule="auto"/>
    </w:pPr>
    <w:rPr>
      <w:rFonts w:ascii="Times New Roman" w:hAnsi="Times New Roman" w:eastAsia="宋体" w:cs="Times New Roman"/>
      <w:sz w:val="24"/>
    </w:rPr>
  </w:style>
  <w:style w:type="paragraph" w:styleId="22">
    <w:name w:val="Normal (Web)"/>
    <w:basedOn w:val="1"/>
    <w:semiHidden/>
    <w:unhideWhenUsed/>
    <w:qFormat/>
    <w:uiPriority w:val="0"/>
    <w:pPr>
      <w:spacing w:beforeAutospacing="1" w:afterAutospacing="1"/>
      <w:jc w:val="left"/>
    </w:pPr>
    <w:rPr>
      <w:rFonts w:cs="Times New Roman"/>
      <w:kern w:val="0"/>
      <w:sz w:val="24"/>
    </w:rPr>
  </w:style>
  <w:style w:type="paragraph" w:styleId="23">
    <w:name w:val="Body Text First Indent"/>
    <w:basedOn w:val="9"/>
    <w:qFormat/>
    <w:uiPriority w:val="99"/>
    <w:pPr>
      <w:spacing w:after="0"/>
      <w:ind w:firstLine="420" w:firstLineChars="100"/>
    </w:pPr>
  </w:style>
  <w:style w:type="paragraph" w:styleId="24">
    <w:name w:val="Body Text First Indent 2"/>
    <w:basedOn w:val="10"/>
    <w:next w:val="23"/>
    <w:qFormat/>
    <w:uiPriority w:val="99"/>
    <w:pPr>
      <w:ind w:left="832" w:firstLine="420" w:firstLineChars="200"/>
    </w:pPr>
    <w:rPr>
      <w:rFonts w:ascii="Times New Roman" w:hAnsi="Times New Roman"/>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basedOn w:val="27"/>
    <w:qFormat/>
    <w:uiPriority w:val="99"/>
    <w:rPr>
      <w:color w:val="2687D0"/>
      <w:u w:val="single"/>
    </w:rPr>
  </w:style>
  <w:style w:type="character" w:styleId="30">
    <w:name w:val="annotation reference"/>
    <w:basedOn w:val="27"/>
    <w:semiHidden/>
    <w:unhideWhenUsed/>
    <w:qFormat/>
    <w:uiPriority w:val="0"/>
    <w:rPr>
      <w:sz w:val="21"/>
      <w:szCs w:val="21"/>
    </w:rPr>
  </w:style>
  <w:style w:type="character" w:styleId="31">
    <w:name w:val="footnote reference"/>
    <w:unhideWhenUsed/>
    <w:qFormat/>
    <w:uiPriority w:val="99"/>
    <w:rPr>
      <w:vertAlign w:val="superscript"/>
    </w:rPr>
  </w:style>
  <w:style w:type="paragraph" w:customStyle="1" w:styleId="32">
    <w:name w:val="Default"/>
    <w:next w:val="33"/>
    <w:qFormat/>
    <w:uiPriority w:val="0"/>
    <w:pPr>
      <w:widowControl w:val="0"/>
      <w:autoSpaceDE w:val="0"/>
      <w:autoSpaceDN w:val="0"/>
      <w:adjustRightInd w:val="0"/>
    </w:pPr>
    <w:rPr>
      <w:rFonts w:ascii="Verdana" w:hAnsi="Verdana" w:eastAsia="宋体" w:cs="Verdana"/>
      <w:color w:val="000000"/>
      <w:sz w:val="24"/>
      <w:szCs w:val="24"/>
      <w:lang w:val="en-US" w:eastAsia="zh-CN" w:bidi="ar-SA"/>
    </w:rPr>
  </w:style>
  <w:style w:type="paragraph" w:customStyle="1" w:styleId="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_Style 2"/>
    <w:basedOn w:val="1"/>
    <w:qFormat/>
    <w:uiPriority w:val="34"/>
    <w:pPr>
      <w:ind w:firstLine="420" w:firstLineChars="200"/>
    </w:pPr>
    <w:rPr>
      <w:szCs w:val="20"/>
    </w:rPr>
  </w:style>
  <w:style w:type="paragraph" w:styleId="35">
    <w:name w:val="List Paragraph"/>
    <w:basedOn w:val="1"/>
    <w:qFormat/>
    <w:uiPriority w:val="99"/>
    <w:pPr>
      <w:ind w:firstLine="420" w:firstLineChars="200"/>
    </w:pPr>
  </w:style>
  <w:style w:type="character" w:customStyle="1" w:styleId="36">
    <w:name w:val="纯文本 字符"/>
    <w:link w:val="14"/>
    <w:qFormat/>
    <w:uiPriority w:val="0"/>
    <w:rPr>
      <w:rFonts w:ascii="宋体" w:hAnsi="Courier New" w:eastAsia="宋体"/>
      <w:kern w:val="2"/>
      <w:sz w:val="21"/>
      <w:szCs w:val="24"/>
    </w:rPr>
  </w:style>
  <w:style w:type="character" w:customStyle="1" w:styleId="37">
    <w:name w:val="标题 1 字符"/>
    <w:link w:val="2"/>
    <w:qFormat/>
    <w:uiPriority w:val="0"/>
    <w:rPr>
      <w:b/>
      <w:bCs/>
      <w:kern w:val="44"/>
      <w:sz w:val="44"/>
      <w:szCs w:val="44"/>
    </w:rPr>
  </w:style>
  <w:style w:type="character" w:customStyle="1" w:styleId="38">
    <w:name w:val="标题 1 Char"/>
    <w:qFormat/>
    <w:uiPriority w:val="0"/>
    <w:rPr>
      <w:rFonts w:eastAsia="黑体"/>
      <w:b/>
      <w:snapToGrid w:val="0"/>
      <w:kern w:val="44"/>
      <w:sz w:val="36"/>
      <w:lang w:val="en-US" w:eastAsia="zh-CN"/>
    </w:rPr>
  </w:style>
  <w:style w:type="character" w:customStyle="1" w:styleId="39">
    <w:name w:val="font01"/>
    <w:basedOn w:val="27"/>
    <w:qFormat/>
    <w:uiPriority w:val="0"/>
    <w:rPr>
      <w:rFonts w:hint="default" w:ascii="Times New Roman" w:hAnsi="Times New Roman" w:cs="Times New Roman"/>
      <w:color w:val="000000"/>
      <w:sz w:val="20"/>
      <w:szCs w:val="20"/>
      <w:u w:val="none"/>
    </w:rPr>
  </w:style>
  <w:style w:type="character" w:customStyle="1" w:styleId="40">
    <w:name w:val="font11"/>
    <w:basedOn w:val="27"/>
    <w:qFormat/>
    <w:uiPriority w:val="0"/>
    <w:rPr>
      <w:rFonts w:hint="eastAsia" w:ascii="宋体" w:hAnsi="宋体" w:eastAsia="宋体" w:cs="宋体"/>
      <w:color w:val="000000"/>
      <w:sz w:val="20"/>
      <w:szCs w:val="20"/>
      <w:u w:val="none"/>
    </w:rPr>
  </w:style>
  <w:style w:type="paragraph" w:customStyle="1" w:styleId="41">
    <w:name w:val="列出段落1"/>
    <w:basedOn w:val="1"/>
    <w:qFormat/>
    <w:uiPriority w:val="0"/>
    <w:pPr>
      <w:ind w:firstLine="420" w:firstLineChars="200"/>
    </w:pPr>
    <w:rPr>
      <w:rFonts w:ascii="Times New Roman" w:hAnsi="Times New Roman" w:eastAsia="宋体" w:cs="Times New Roman"/>
    </w:rPr>
  </w:style>
  <w:style w:type="paragraph" w:customStyle="1" w:styleId="42">
    <w:name w:val="Normal_2"/>
    <w:qFormat/>
    <w:uiPriority w:val="99"/>
    <w:pPr>
      <w:spacing w:before="120" w:after="240"/>
      <w:jc w:val="both"/>
    </w:pPr>
    <w:rPr>
      <w:rFonts w:ascii="Calibri" w:hAnsi="Calibri" w:eastAsia="宋体" w:cs="Times New Roman"/>
      <w:sz w:val="22"/>
      <w:szCs w:val="22"/>
      <w:lang w:val="ru-RU" w:eastAsia="en-US" w:bidi="ar-SA"/>
    </w:rPr>
  </w:style>
  <w:style w:type="character" w:customStyle="1" w:styleId="43">
    <w:name w:val="font31"/>
    <w:qFormat/>
    <w:uiPriority w:val="0"/>
    <w:rPr>
      <w:rFonts w:ascii="Arial" w:hAnsi="Arial" w:cs="Arial"/>
      <w:b/>
      <w:bCs/>
      <w:color w:val="000000"/>
      <w:sz w:val="21"/>
      <w:szCs w:val="21"/>
      <w:u w:val="none"/>
    </w:rPr>
  </w:style>
  <w:style w:type="character" w:customStyle="1" w:styleId="44">
    <w:name w:val="font71"/>
    <w:qFormat/>
    <w:uiPriority w:val="0"/>
    <w:rPr>
      <w:rFonts w:hint="default" w:ascii="仿宋_GB2312" w:eastAsia="仿宋_GB2312" w:cs="仿宋_GB2312"/>
      <w:b/>
      <w:bCs/>
      <w:color w:val="000000"/>
      <w:sz w:val="21"/>
      <w:szCs w:val="21"/>
      <w:u w:val="none"/>
    </w:rPr>
  </w:style>
  <w:style w:type="paragraph" w:customStyle="1" w:styleId="45">
    <w:name w:val="正文格式"/>
    <w:basedOn w:val="9"/>
    <w:qFormat/>
    <w:uiPriority w:val="99"/>
    <w:pPr>
      <w:tabs>
        <w:tab w:val="left" w:pos="567"/>
      </w:tabs>
      <w:spacing w:line="360" w:lineRule="auto"/>
      <w:ind w:firstLine="200" w:firstLineChars="200"/>
    </w:pPr>
    <w:rPr>
      <w:sz w:val="28"/>
      <w:szCs w:val="22"/>
    </w:rPr>
  </w:style>
  <w:style w:type="character" w:customStyle="1" w:styleId="46">
    <w:name w:val="正文文本 2 字符"/>
    <w:basedOn w:val="27"/>
    <w:link w:val="21"/>
    <w:semiHidden/>
    <w:qFormat/>
    <w:uiPriority w:val="99"/>
    <w:rPr>
      <w:kern w:val="2"/>
      <w:sz w:val="24"/>
      <w:szCs w:val="24"/>
    </w:rPr>
  </w:style>
  <w:style w:type="character" w:customStyle="1" w:styleId="47">
    <w:name w:val="正文文本缩进 字符"/>
    <w:basedOn w:val="27"/>
    <w:link w:val="10"/>
    <w:qFormat/>
    <w:uiPriority w:val="0"/>
    <w:rPr>
      <w:rFonts w:asciiTheme="minorHAnsi" w:hAnsiTheme="minorHAnsi" w:eastAsiaTheme="minorEastAsia" w:cstheme="minorBidi"/>
      <w:kern w:val="2"/>
      <w:sz w:val="24"/>
      <w:szCs w:val="24"/>
    </w:rPr>
  </w:style>
  <w:style w:type="character" w:customStyle="1" w:styleId="48">
    <w:name w:val="标题 5 字符"/>
    <w:basedOn w:val="27"/>
    <w:link w:val="4"/>
    <w:semiHidden/>
    <w:qFormat/>
    <w:uiPriority w:val="9"/>
    <w:rPr>
      <w:b/>
      <w:bCs/>
      <w:kern w:val="2"/>
      <w:sz w:val="28"/>
      <w:szCs w:val="28"/>
    </w:rPr>
  </w:style>
  <w:style w:type="paragraph" w:customStyle="1" w:styleId="49">
    <w:name w:val="bt1bt1"/>
    <w:basedOn w:val="2"/>
    <w:qFormat/>
    <w:uiPriority w:val="0"/>
    <w:pPr>
      <w:spacing w:line="240" w:lineRule="auto"/>
      <w:jc w:val="center"/>
    </w:pPr>
    <w:rPr>
      <w:rFonts w:ascii="黑体" w:hAnsi="Times New Roman" w:eastAsia="黑体" w:cs="Times New Roman"/>
      <w:b w:val="0"/>
      <w:sz w:val="36"/>
      <w:szCs w:val="36"/>
    </w:rPr>
  </w:style>
  <w:style w:type="paragraph" w:customStyle="1" w:styleId="50">
    <w:name w:val="正文首行缩进 21"/>
    <w:basedOn w:val="51"/>
    <w:qFormat/>
    <w:uiPriority w:val="0"/>
    <w:pPr>
      <w:spacing w:line="500" w:lineRule="exact"/>
      <w:ind w:firstLine="420" w:firstLineChars="200"/>
    </w:pPr>
    <w:rPr>
      <w:rFonts w:ascii="楷体_GB2312" w:hAnsi="Times New Roman" w:eastAsia="楷体_GB2312" w:cs="Times New Roman"/>
      <w:szCs w:val="24"/>
    </w:rPr>
  </w:style>
  <w:style w:type="paragraph" w:customStyle="1" w:styleId="51">
    <w:name w:val="正文文本缩进1"/>
    <w:basedOn w:val="52"/>
    <w:qFormat/>
    <w:uiPriority w:val="0"/>
    <w:pPr>
      <w:spacing w:line="500" w:lineRule="exact"/>
      <w:ind w:firstLine="200" w:firstLineChars="200"/>
    </w:pPr>
  </w:style>
  <w:style w:type="paragraph" w:customStyle="1" w:styleId="52">
    <w:name w:val="正文 New New New New New New New New New New New New New New New New"/>
    <w:next w:val="50"/>
    <w:qFormat/>
    <w:uiPriority w:val="0"/>
    <w:pPr>
      <w:widowControl w:val="0"/>
      <w:jc w:val="both"/>
    </w:pPr>
    <w:rPr>
      <w:rFonts w:ascii="Calibri" w:hAnsi="Calibri" w:eastAsia="宋体" w:cs="黑体"/>
      <w:kern w:val="2"/>
      <w:sz w:val="21"/>
      <w:szCs w:val="22"/>
      <w:lang w:val="en-US" w:eastAsia="zh-CN" w:bidi="ar-SA"/>
    </w:rPr>
  </w:style>
  <w:style w:type="paragraph" w:customStyle="1" w:styleId="53">
    <w:name w:val="Body Text First Indent 21"/>
    <w:basedOn w:val="54"/>
    <w:next w:val="1"/>
    <w:qFormat/>
    <w:uiPriority w:val="0"/>
    <w:pPr>
      <w:widowControl/>
    </w:pPr>
    <w:rPr>
      <w:szCs w:val="20"/>
    </w:rPr>
  </w:style>
  <w:style w:type="paragraph" w:customStyle="1" w:styleId="54">
    <w:name w:val="Body Text Indent1"/>
    <w:basedOn w:val="1"/>
    <w:qFormat/>
    <w:uiPriority w:val="0"/>
    <w:pPr>
      <w:spacing w:line="500" w:lineRule="exact"/>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14186</Words>
  <Characters>15096</Characters>
  <Lines>187</Lines>
  <Paragraphs>52</Paragraphs>
  <TotalTime>10</TotalTime>
  <ScaleCrop>false</ScaleCrop>
  <LinksUpToDate>false</LinksUpToDate>
  <CharactersWithSpaces>16199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2022-11-09T04:09:00Z</dcterms:created>
  <dc:creator>shenqiang</dc:creator>
  <cp:lastModifiedBy>释迦果</cp:lastModifiedBy>
  <dcterms:modified xsi:type="dcterms:W3CDTF">2023-11-14T06:05:28Z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D590D05994924F46AE81883979D098C1</vt:lpwstr>
  </property>
</Properties>
</file>